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1851" w14:textId="55FBA911" w:rsidR="008A46AF" w:rsidRDefault="008A46AF" w:rsidP="008A46AF">
      <w:pPr>
        <w:pBdr>
          <w:bottom w:val="single" w:sz="12" w:space="1" w:color="auto"/>
        </w:pBdr>
        <w:tabs>
          <w:tab w:val="left" w:pos="720"/>
          <w:tab w:val="left" w:pos="1440"/>
          <w:tab w:val="left" w:pos="2160"/>
          <w:tab w:val="left" w:pos="2880"/>
          <w:tab w:val="left" w:pos="3600"/>
          <w:tab w:val="left" w:pos="4320"/>
          <w:tab w:val="left" w:pos="5040"/>
          <w:tab w:val="left" w:pos="5760"/>
          <w:tab w:val="left" w:pos="7290"/>
        </w:tabs>
        <w:spacing w:line="240" w:lineRule="auto"/>
        <w:jc w:val="both"/>
        <w:rPr>
          <w:rFonts w:ascii="Arial" w:eastAsia="Arial" w:hAnsi="Arial" w:cs="Arial"/>
          <w:sz w:val="38"/>
          <w:szCs w:val="38"/>
          <w:lang w:val="fr-CA"/>
        </w:rPr>
      </w:pPr>
      <w:r>
        <w:rPr>
          <w:rFonts w:ascii="Arial" w:eastAsia="Arial" w:hAnsi="Arial" w:cs="Arial"/>
          <w:noProof/>
          <w:sz w:val="38"/>
          <w:szCs w:val="38"/>
          <w:lang w:eastAsia="en-CA"/>
        </w:rPr>
        <w:drawing>
          <wp:inline distT="0" distB="0" distL="0" distR="0" wp14:anchorId="3603AD5F" wp14:editId="461EED54">
            <wp:extent cx="1721642" cy="97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versityofManitoba-logo-Law-cmyk-vert.eps"/>
                    <pic:cNvPicPr/>
                  </pic:nvPicPr>
                  <pic:blipFill>
                    <a:blip r:embed="rId8">
                      <a:extLst>
                        <a:ext uri="{28A0092B-C50C-407E-A947-70E740481C1C}">
                          <a14:useLocalDpi xmlns:a14="http://schemas.microsoft.com/office/drawing/2010/main" val="0"/>
                        </a:ext>
                      </a:extLst>
                    </a:blip>
                    <a:stretch>
                      <a:fillRect/>
                    </a:stretch>
                  </pic:blipFill>
                  <pic:spPr>
                    <a:xfrm>
                      <a:off x="0" y="0"/>
                      <a:ext cx="1721642" cy="972000"/>
                    </a:xfrm>
                    <a:prstGeom prst="rect">
                      <a:avLst/>
                    </a:prstGeom>
                  </pic:spPr>
                </pic:pic>
              </a:graphicData>
            </a:graphic>
          </wp:inline>
        </w:drawing>
      </w:r>
      <w:r>
        <w:rPr>
          <w:rFonts w:ascii="Arial" w:eastAsia="Arial" w:hAnsi="Arial" w:cs="Arial"/>
          <w:sz w:val="38"/>
          <w:szCs w:val="38"/>
          <w:lang w:val="fr-CA"/>
        </w:rPr>
        <w:tab/>
      </w:r>
      <w:r>
        <w:rPr>
          <w:rFonts w:ascii="Arial" w:eastAsia="Arial" w:hAnsi="Arial" w:cs="Arial"/>
          <w:sz w:val="38"/>
          <w:szCs w:val="38"/>
          <w:lang w:val="fr-CA"/>
        </w:rPr>
        <w:tab/>
      </w:r>
      <w:r>
        <w:rPr>
          <w:noProof/>
          <w:lang w:eastAsia="en-CA"/>
        </w:rPr>
        <w:drawing>
          <wp:inline distT="0" distB="0" distL="0" distR="0" wp14:anchorId="2B8384DC" wp14:editId="6F8CC17D">
            <wp:extent cx="1126958" cy="12960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t_Logo_Web_Small_Dalhousie Law 2019 hosts.jpg"/>
                    <pic:cNvPicPr/>
                  </pic:nvPicPr>
                  <pic:blipFill>
                    <a:blip r:embed="rId9">
                      <a:extLst>
                        <a:ext uri="{28A0092B-C50C-407E-A947-70E740481C1C}">
                          <a14:useLocalDpi xmlns:a14="http://schemas.microsoft.com/office/drawing/2010/main" val="0"/>
                        </a:ext>
                      </a:extLst>
                    </a:blip>
                    <a:stretch>
                      <a:fillRect/>
                    </a:stretch>
                  </pic:blipFill>
                  <pic:spPr>
                    <a:xfrm>
                      <a:off x="0" y="0"/>
                      <a:ext cx="1126958" cy="1296000"/>
                    </a:xfrm>
                    <a:prstGeom prst="rect">
                      <a:avLst/>
                    </a:prstGeom>
                  </pic:spPr>
                </pic:pic>
              </a:graphicData>
            </a:graphic>
          </wp:inline>
        </w:drawing>
      </w:r>
      <w:r>
        <w:rPr>
          <w:rFonts w:ascii="Arial" w:eastAsia="Arial" w:hAnsi="Arial" w:cs="Arial"/>
          <w:sz w:val="38"/>
          <w:szCs w:val="38"/>
          <w:lang w:val="fr-CA"/>
        </w:rPr>
        <w:tab/>
      </w:r>
      <w:r>
        <w:rPr>
          <w:rFonts w:ascii="Arial" w:eastAsia="Arial" w:hAnsi="Arial" w:cs="Arial"/>
          <w:sz w:val="38"/>
          <w:szCs w:val="38"/>
          <w:lang w:val="fr-CA"/>
        </w:rPr>
        <w:tab/>
      </w:r>
      <w:r>
        <w:rPr>
          <w:rFonts w:ascii="Arial" w:eastAsia="Arial" w:hAnsi="Arial" w:cs="Arial"/>
          <w:noProof/>
          <w:sz w:val="38"/>
          <w:szCs w:val="38"/>
          <w:lang w:eastAsia="en-CA"/>
        </w:rPr>
        <w:drawing>
          <wp:inline distT="0" distB="0" distL="0" distR="0" wp14:anchorId="05E7C2E3" wp14:editId="272C364A">
            <wp:extent cx="1293376" cy="1296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bson Hall tag line logo_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3376" cy="1296000"/>
                    </a:xfrm>
                    <a:prstGeom prst="rect">
                      <a:avLst/>
                    </a:prstGeom>
                  </pic:spPr>
                </pic:pic>
              </a:graphicData>
            </a:graphic>
          </wp:inline>
        </w:drawing>
      </w:r>
    </w:p>
    <w:p w14:paraId="3291D6DB" w14:textId="77777777" w:rsidR="008A46AF" w:rsidRPr="008A46AF" w:rsidRDefault="008A46AF" w:rsidP="008A46AF">
      <w:pPr>
        <w:pBdr>
          <w:bottom w:val="single" w:sz="12" w:space="1" w:color="auto"/>
        </w:pBdr>
        <w:tabs>
          <w:tab w:val="left" w:pos="720"/>
          <w:tab w:val="left" w:pos="1440"/>
          <w:tab w:val="left" w:pos="2160"/>
          <w:tab w:val="left" w:pos="2880"/>
          <w:tab w:val="left" w:pos="3600"/>
          <w:tab w:val="left" w:pos="4320"/>
          <w:tab w:val="left" w:pos="5040"/>
          <w:tab w:val="left" w:pos="5760"/>
          <w:tab w:val="left" w:pos="7290"/>
        </w:tabs>
        <w:spacing w:line="240" w:lineRule="auto"/>
        <w:jc w:val="both"/>
        <w:rPr>
          <w:rFonts w:ascii="Arial" w:eastAsia="Arial" w:hAnsi="Arial" w:cs="Arial"/>
          <w:sz w:val="10"/>
          <w:szCs w:val="10"/>
          <w:lang w:val="fr-CA"/>
        </w:rPr>
      </w:pPr>
    </w:p>
    <w:p w14:paraId="1792E691" w14:textId="772D69C8" w:rsidR="00334727" w:rsidRDefault="00334727" w:rsidP="00334727">
      <w:pPr>
        <w:spacing w:line="240" w:lineRule="auto"/>
        <w:jc w:val="both"/>
        <w:rPr>
          <w:rFonts w:ascii="Arial" w:hAnsi="Arial" w:cs="Arial"/>
          <w:sz w:val="44"/>
          <w:szCs w:val="44"/>
        </w:rPr>
      </w:pPr>
      <w:r>
        <w:rPr>
          <w:rFonts w:ascii="Arial" w:hAnsi="Arial" w:cs="Arial"/>
          <w:sz w:val="44"/>
          <w:szCs w:val="44"/>
        </w:rPr>
        <w:t>KAWASKIMHON MOOT 2020</w:t>
      </w:r>
    </w:p>
    <w:p w14:paraId="79A3FE3F" w14:textId="77777777" w:rsidR="00334727" w:rsidRPr="00334727" w:rsidRDefault="00334727" w:rsidP="00334727">
      <w:pPr>
        <w:spacing w:line="240" w:lineRule="auto"/>
        <w:jc w:val="both"/>
        <w:rPr>
          <w:rFonts w:ascii="Arial" w:hAnsi="Arial" w:cs="Arial"/>
          <w:sz w:val="32"/>
          <w:szCs w:val="32"/>
        </w:rPr>
      </w:pPr>
      <w:r>
        <w:rPr>
          <w:rFonts w:ascii="Arial" w:hAnsi="Arial" w:cs="Arial"/>
          <w:sz w:val="32"/>
          <w:szCs w:val="32"/>
        </w:rPr>
        <w:t>FACT PATTERN</w:t>
      </w:r>
    </w:p>
    <w:p w14:paraId="235DB239" w14:textId="77777777" w:rsidR="00AB523B" w:rsidRDefault="00AB523B" w:rsidP="00D5591C">
      <w:pPr>
        <w:spacing w:line="480" w:lineRule="auto"/>
        <w:jc w:val="both"/>
        <w:rPr>
          <w:rFonts w:ascii="Arial" w:hAnsi="Arial" w:cs="Arial"/>
          <w:i/>
          <w:sz w:val="20"/>
          <w:szCs w:val="20"/>
        </w:rPr>
      </w:pPr>
    </w:p>
    <w:p w14:paraId="5C8AE795" w14:textId="77777777" w:rsidR="001E5AC7" w:rsidRPr="00363FB5" w:rsidRDefault="001C39BF" w:rsidP="00D5591C">
      <w:pPr>
        <w:spacing w:line="480" w:lineRule="auto"/>
        <w:jc w:val="both"/>
        <w:rPr>
          <w:rFonts w:ascii="Arial" w:hAnsi="Arial" w:cs="Arial"/>
          <w:sz w:val="24"/>
          <w:szCs w:val="24"/>
        </w:rPr>
      </w:pPr>
      <w:r w:rsidRPr="00363FB5">
        <w:rPr>
          <w:rFonts w:ascii="Arial" w:hAnsi="Arial" w:cs="Arial"/>
          <w:sz w:val="24"/>
          <w:szCs w:val="24"/>
        </w:rPr>
        <w:t xml:space="preserve">Twenty years have passed since </w:t>
      </w:r>
      <w:r w:rsidRPr="00363FB5">
        <w:rPr>
          <w:rFonts w:ascii="Arial" w:hAnsi="Arial" w:cs="Arial"/>
          <w:i/>
          <w:iCs/>
          <w:sz w:val="24"/>
          <w:szCs w:val="24"/>
        </w:rPr>
        <w:t>R v. Gladue</w:t>
      </w:r>
      <w:r w:rsidR="00D5591C">
        <w:rPr>
          <w:rFonts w:ascii="Arial" w:hAnsi="Arial" w:cs="Arial"/>
          <w:iCs/>
          <w:sz w:val="24"/>
          <w:szCs w:val="24"/>
        </w:rPr>
        <w:t xml:space="preserve"> </w:t>
      </w:r>
      <w:r w:rsidR="00D5591C" w:rsidRPr="00363FB5">
        <w:rPr>
          <w:rFonts w:ascii="Arial" w:hAnsi="Arial" w:cs="Arial"/>
          <w:sz w:val="24"/>
          <w:szCs w:val="24"/>
        </w:rPr>
        <w:t>(</w:t>
      </w:r>
      <w:r w:rsidR="00D5591C" w:rsidRPr="00D5591C">
        <w:rPr>
          <w:rFonts w:ascii="Arial" w:hAnsi="Arial" w:cs="Arial"/>
          <w:i/>
          <w:sz w:val="24"/>
          <w:szCs w:val="24"/>
        </w:rPr>
        <w:t>Gladue</w:t>
      </w:r>
      <w:r w:rsidR="00D5591C" w:rsidRPr="00363FB5">
        <w:rPr>
          <w:rFonts w:ascii="Arial" w:hAnsi="Arial" w:cs="Arial"/>
          <w:sz w:val="24"/>
          <w:szCs w:val="24"/>
        </w:rPr>
        <w:t>)</w:t>
      </w:r>
      <w:r w:rsidRPr="00363FB5">
        <w:rPr>
          <w:rFonts w:ascii="Arial" w:hAnsi="Arial" w:cs="Arial"/>
          <w:sz w:val="24"/>
          <w:szCs w:val="24"/>
        </w:rPr>
        <w:t>, in which the Supreme Court of Canada (SCC) stated that the over-incarceration of Indigenous peoples could be “fairly termed a crisis in the Can</w:t>
      </w:r>
      <w:r w:rsidR="00D5591C">
        <w:rPr>
          <w:rFonts w:ascii="Arial" w:hAnsi="Arial" w:cs="Arial"/>
          <w:sz w:val="24"/>
          <w:szCs w:val="24"/>
        </w:rPr>
        <w:t xml:space="preserve">adian </w:t>
      </w:r>
      <w:r w:rsidR="00D5591C">
        <w:rPr>
          <w:rFonts w:ascii="Arial" w:hAnsi="Arial" w:cs="Arial"/>
          <w:sz w:val="24"/>
          <w:szCs w:val="24"/>
        </w:rPr>
        <w:lastRenderedPageBreak/>
        <w:t>criminal justice system.”</w:t>
      </w:r>
      <w:r w:rsidR="001E5AC7" w:rsidRPr="00363FB5">
        <w:rPr>
          <w:rStyle w:val="FootnoteReference"/>
          <w:rFonts w:ascii="Arial" w:hAnsi="Arial" w:cs="Arial"/>
          <w:sz w:val="24"/>
          <w:szCs w:val="24"/>
        </w:rPr>
        <w:footnoteReference w:id="1"/>
      </w:r>
      <w:r w:rsidR="00D5591C">
        <w:rPr>
          <w:rFonts w:ascii="Arial" w:hAnsi="Arial" w:cs="Arial"/>
          <w:sz w:val="24"/>
          <w:szCs w:val="24"/>
        </w:rPr>
        <w:t xml:space="preserve"> </w:t>
      </w:r>
      <w:r w:rsidR="001E5AC7" w:rsidRPr="00363FB5">
        <w:rPr>
          <w:rFonts w:ascii="Arial" w:hAnsi="Arial" w:cs="Arial"/>
          <w:sz w:val="24"/>
          <w:szCs w:val="24"/>
        </w:rPr>
        <w:t>The over-representation of Indigenous people</w:t>
      </w:r>
      <w:r w:rsidR="00F26730" w:rsidRPr="00363FB5">
        <w:rPr>
          <w:rFonts w:ascii="Arial" w:hAnsi="Arial" w:cs="Arial"/>
          <w:sz w:val="24"/>
          <w:szCs w:val="24"/>
        </w:rPr>
        <w:t xml:space="preserve"> in custody</w:t>
      </w:r>
      <w:r w:rsidR="001E5AC7" w:rsidRPr="00363FB5">
        <w:rPr>
          <w:rFonts w:ascii="Arial" w:hAnsi="Arial" w:cs="Arial"/>
          <w:sz w:val="24"/>
          <w:szCs w:val="24"/>
        </w:rPr>
        <w:t xml:space="preserve"> has been a concern </w:t>
      </w:r>
      <w:r w:rsidR="00F26730" w:rsidRPr="00363FB5">
        <w:rPr>
          <w:rFonts w:ascii="Arial" w:hAnsi="Arial" w:cs="Arial"/>
          <w:sz w:val="24"/>
          <w:szCs w:val="24"/>
        </w:rPr>
        <w:t xml:space="preserve">going back to the end </w:t>
      </w:r>
      <w:r w:rsidR="001E5AC7" w:rsidRPr="00363FB5">
        <w:rPr>
          <w:rFonts w:ascii="Arial" w:hAnsi="Arial" w:cs="Arial"/>
          <w:sz w:val="24"/>
          <w:szCs w:val="24"/>
        </w:rPr>
        <w:t>of the Second World War.</w:t>
      </w:r>
      <w:r w:rsidR="001E5AC7" w:rsidRPr="00363FB5">
        <w:rPr>
          <w:rStyle w:val="FootnoteReference"/>
          <w:rFonts w:ascii="Arial" w:hAnsi="Arial" w:cs="Arial"/>
          <w:sz w:val="24"/>
          <w:szCs w:val="24"/>
        </w:rPr>
        <w:footnoteReference w:id="2"/>
      </w:r>
    </w:p>
    <w:p w14:paraId="57E325C8" w14:textId="77777777" w:rsidR="001C39BF" w:rsidRPr="00363FB5" w:rsidRDefault="001C39BF" w:rsidP="00D5591C">
      <w:pPr>
        <w:spacing w:line="480" w:lineRule="auto"/>
        <w:jc w:val="both"/>
        <w:rPr>
          <w:rFonts w:ascii="Arial" w:hAnsi="Arial" w:cs="Arial"/>
          <w:sz w:val="24"/>
          <w:szCs w:val="24"/>
        </w:rPr>
      </w:pPr>
      <w:r w:rsidRPr="00363FB5">
        <w:rPr>
          <w:rFonts w:ascii="Arial" w:hAnsi="Arial" w:cs="Arial"/>
          <w:sz w:val="24"/>
          <w:szCs w:val="24"/>
        </w:rPr>
        <w:t xml:space="preserve">It’s fair to say that the crisis has only worsened since this time. </w:t>
      </w:r>
      <w:r w:rsidR="00F26730" w:rsidRPr="00363FB5">
        <w:rPr>
          <w:rFonts w:ascii="Arial" w:hAnsi="Arial" w:cs="Arial"/>
          <w:sz w:val="24"/>
          <w:szCs w:val="24"/>
        </w:rPr>
        <w:t xml:space="preserve">A number of studies and committees have examined the issue over the years, the </w:t>
      </w:r>
      <w:r w:rsidR="00F26730" w:rsidRPr="00363FB5">
        <w:rPr>
          <w:rFonts w:ascii="Arial" w:hAnsi="Arial" w:cs="Arial"/>
          <w:i/>
          <w:iCs/>
          <w:sz w:val="24"/>
          <w:szCs w:val="24"/>
        </w:rPr>
        <w:t>Aboriginal Justice Inquiry</w:t>
      </w:r>
      <w:r w:rsidR="00F26730" w:rsidRPr="00363FB5">
        <w:rPr>
          <w:rFonts w:ascii="Arial" w:hAnsi="Arial" w:cs="Arial"/>
          <w:sz w:val="24"/>
          <w:szCs w:val="24"/>
        </w:rPr>
        <w:t xml:space="preserve"> report</w:t>
      </w:r>
      <w:r w:rsidR="00F26730" w:rsidRPr="00363FB5">
        <w:rPr>
          <w:rStyle w:val="FootnoteReference"/>
          <w:rFonts w:ascii="Arial" w:hAnsi="Arial" w:cs="Arial"/>
          <w:sz w:val="24"/>
          <w:szCs w:val="24"/>
        </w:rPr>
        <w:footnoteReference w:id="3"/>
      </w:r>
      <w:r w:rsidR="00F26730" w:rsidRPr="00363FB5">
        <w:rPr>
          <w:rFonts w:ascii="Arial" w:hAnsi="Arial" w:cs="Arial"/>
          <w:sz w:val="24"/>
          <w:szCs w:val="24"/>
        </w:rPr>
        <w:t xml:space="preserve"> being the most comprehensive </w:t>
      </w:r>
      <w:r w:rsidR="00140ED4" w:rsidRPr="00363FB5">
        <w:rPr>
          <w:rFonts w:ascii="Arial" w:hAnsi="Arial" w:cs="Arial"/>
          <w:sz w:val="24"/>
          <w:szCs w:val="24"/>
        </w:rPr>
        <w:t xml:space="preserve">as it relates to Aboriginal </w:t>
      </w:r>
      <w:r w:rsidR="000016DE" w:rsidRPr="00363FB5">
        <w:rPr>
          <w:rFonts w:ascii="Arial" w:hAnsi="Arial" w:cs="Arial"/>
          <w:sz w:val="24"/>
          <w:szCs w:val="24"/>
        </w:rPr>
        <w:t>p</w:t>
      </w:r>
      <w:r w:rsidR="00140ED4" w:rsidRPr="00363FB5">
        <w:rPr>
          <w:rFonts w:ascii="Arial" w:hAnsi="Arial" w:cs="Arial"/>
          <w:sz w:val="24"/>
          <w:szCs w:val="24"/>
        </w:rPr>
        <w:t>eople in Manitoba.</w:t>
      </w:r>
      <w:r w:rsidR="00D5591C">
        <w:rPr>
          <w:rFonts w:ascii="Arial" w:hAnsi="Arial" w:cs="Arial"/>
          <w:sz w:val="24"/>
          <w:szCs w:val="24"/>
        </w:rPr>
        <w:t xml:space="preserve"> </w:t>
      </w:r>
      <w:r w:rsidRPr="00363FB5">
        <w:rPr>
          <w:rFonts w:ascii="Arial" w:hAnsi="Arial" w:cs="Arial"/>
          <w:sz w:val="24"/>
          <w:szCs w:val="24"/>
        </w:rPr>
        <w:t xml:space="preserve">There are </w:t>
      </w:r>
      <w:r w:rsidR="00DD6F57" w:rsidRPr="00363FB5">
        <w:rPr>
          <w:rFonts w:ascii="Arial" w:hAnsi="Arial" w:cs="Arial"/>
          <w:sz w:val="24"/>
          <w:szCs w:val="24"/>
        </w:rPr>
        <w:t>several</w:t>
      </w:r>
      <w:r w:rsidRPr="00363FB5">
        <w:rPr>
          <w:rFonts w:ascii="Arial" w:hAnsi="Arial" w:cs="Arial"/>
          <w:sz w:val="24"/>
          <w:szCs w:val="24"/>
        </w:rPr>
        <w:t xml:space="preserve"> factors that have prevented real change from occurring</w:t>
      </w:r>
      <w:r w:rsidR="001E5AC7" w:rsidRPr="00363FB5">
        <w:rPr>
          <w:rFonts w:ascii="Arial" w:hAnsi="Arial" w:cs="Arial"/>
          <w:sz w:val="24"/>
          <w:szCs w:val="24"/>
        </w:rPr>
        <w:t>.</w:t>
      </w:r>
      <w:r w:rsidR="00F26730" w:rsidRPr="00363FB5">
        <w:rPr>
          <w:rFonts w:ascii="Arial" w:hAnsi="Arial" w:cs="Arial"/>
          <w:sz w:val="24"/>
          <w:szCs w:val="24"/>
        </w:rPr>
        <w:t xml:space="preserve"> </w:t>
      </w:r>
    </w:p>
    <w:p w14:paraId="402D3DA7" w14:textId="77777777" w:rsidR="00765701" w:rsidRPr="00363FB5" w:rsidRDefault="00765701" w:rsidP="00363FB5">
      <w:pPr>
        <w:spacing w:line="480" w:lineRule="auto"/>
        <w:jc w:val="both"/>
        <w:rPr>
          <w:rFonts w:ascii="Arial" w:hAnsi="Arial" w:cs="Arial"/>
          <w:sz w:val="24"/>
          <w:szCs w:val="24"/>
        </w:rPr>
      </w:pPr>
      <w:r w:rsidRPr="00D5591C">
        <w:rPr>
          <w:rFonts w:ascii="Arial" w:hAnsi="Arial" w:cs="Arial"/>
          <w:i/>
          <w:sz w:val="24"/>
          <w:szCs w:val="24"/>
        </w:rPr>
        <w:t>Gladue</w:t>
      </w:r>
      <w:r w:rsidRPr="00D5591C">
        <w:rPr>
          <w:rFonts w:ascii="Arial" w:hAnsi="Arial" w:cs="Arial"/>
          <w:sz w:val="24"/>
          <w:szCs w:val="24"/>
        </w:rPr>
        <w:t xml:space="preserve"> </w:t>
      </w:r>
      <w:r w:rsidRPr="00363FB5">
        <w:rPr>
          <w:rFonts w:ascii="Arial" w:hAnsi="Arial" w:cs="Arial"/>
          <w:sz w:val="24"/>
          <w:szCs w:val="24"/>
        </w:rPr>
        <w:t xml:space="preserve">was a landmark decision by the </w:t>
      </w:r>
      <w:r w:rsidR="00D5591C">
        <w:rPr>
          <w:rFonts w:ascii="Arial" w:hAnsi="Arial" w:cs="Arial"/>
          <w:sz w:val="24"/>
          <w:szCs w:val="24"/>
        </w:rPr>
        <w:t>SCC</w:t>
      </w:r>
      <w:r w:rsidRPr="00363FB5">
        <w:rPr>
          <w:rFonts w:ascii="Arial" w:hAnsi="Arial" w:cs="Arial"/>
          <w:sz w:val="24"/>
          <w:szCs w:val="24"/>
        </w:rPr>
        <w:t xml:space="preserve"> involving section 718.2(e) of the </w:t>
      </w:r>
      <w:r w:rsidRPr="00D5591C">
        <w:rPr>
          <w:rFonts w:ascii="Arial" w:hAnsi="Arial" w:cs="Arial"/>
          <w:i/>
          <w:sz w:val="24"/>
          <w:szCs w:val="24"/>
        </w:rPr>
        <w:t>Criminal Code</w:t>
      </w:r>
      <w:r w:rsidRPr="00363FB5">
        <w:rPr>
          <w:rFonts w:ascii="Arial" w:hAnsi="Arial" w:cs="Arial"/>
          <w:sz w:val="24"/>
          <w:szCs w:val="24"/>
        </w:rPr>
        <w:t xml:space="preserve">, in the case of an Aboriginal woman from British Columbia. On September 16, 1995, Jamie Tanis Gladue was celebrating her nineteenth birthday when she got into a violent </w:t>
      </w:r>
      <w:r w:rsidRPr="00363FB5">
        <w:rPr>
          <w:rFonts w:ascii="Arial" w:hAnsi="Arial" w:cs="Arial"/>
          <w:sz w:val="24"/>
          <w:szCs w:val="24"/>
        </w:rPr>
        <w:lastRenderedPageBreak/>
        <w:t>disagreement with her boyfriend and stabbed him. She was eventually convicted of manslaughter. At her sentencing hearing, the judge took into account her youth, her status as a mother, and the absence of any serious criminal history. She was sentenced to three years imprisonment. When the Supreme Court dismissed her appeal of the sentence in 1999, the Court approvingly quoted a study to the effect that “the prison has become for many young native people the contemporary equivalent of what the Indian residential school represented for their parents.”</w:t>
      </w:r>
      <w:r w:rsidRPr="00363FB5">
        <w:rPr>
          <w:rStyle w:val="FootnoteReference"/>
          <w:rFonts w:ascii="Arial" w:hAnsi="Arial" w:cs="Arial"/>
          <w:sz w:val="24"/>
          <w:szCs w:val="24"/>
        </w:rPr>
        <w:footnoteReference w:id="4"/>
      </w:r>
    </w:p>
    <w:p w14:paraId="22A2FAE6" w14:textId="77777777" w:rsidR="001C39BF" w:rsidRPr="00363FB5" w:rsidRDefault="00765701" w:rsidP="00363FB5">
      <w:pPr>
        <w:spacing w:line="480" w:lineRule="auto"/>
        <w:jc w:val="both"/>
        <w:rPr>
          <w:rFonts w:ascii="Arial" w:hAnsi="Arial" w:cs="Arial"/>
          <w:sz w:val="24"/>
          <w:szCs w:val="24"/>
        </w:rPr>
      </w:pPr>
      <w:r w:rsidRPr="00363FB5">
        <w:rPr>
          <w:rFonts w:ascii="Arial" w:hAnsi="Arial" w:cs="Arial"/>
          <w:sz w:val="24"/>
          <w:szCs w:val="24"/>
        </w:rPr>
        <w:t xml:space="preserve">The </w:t>
      </w:r>
      <w:r w:rsidR="001C39BF" w:rsidRPr="00363FB5">
        <w:rPr>
          <w:rFonts w:ascii="Arial" w:hAnsi="Arial" w:cs="Arial"/>
          <w:sz w:val="24"/>
          <w:szCs w:val="24"/>
        </w:rPr>
        <w:t>SCC outlined two considerations that sentencing judges must apply when determining</w:t>
      </w:r>
      <w:r w:rsidR="00D5591C">
        <w:rPr>
          <w:rFonts w:ascii="Arial" w:hAnsi="Arial" w:cs="Arial"/>
          <w:sz w:val="24"/>
          <w:szCs w:val="24"/>
        </w:rPr>
        <w:t xml:space="preserve"> a fit and appropriate sentence:</w:t>
      </w:r>
      <w:r w:rsidR="001C39BF" w:rsidRPr="00363FB5">
        <w:rPr>
          <w:rFonts w:ascii="Arial" w:hAnsi="Arial" w:cs="Arial"/>
          <w:sz w:val="24"/>
          <w:szCs w:val="24"/>
        </w:rPr>
        <w:t xml:space="preserve"> </w:t>
      </w:r>
    </w:p>
    <w:p w14:paraId="61800B1D" w14:textId="77777777" w:rsidR="00DD6F57" w:rsidRPr="00363FB5" w:rsidRDefault="00DD6F57" w:rsidP="00363FB5">
      <w:pPr>
        <w:pStyle w:val="ListParagraph"/>
        <w:numPr>
          <w:ilvl w:val="0"/>
          <w:numId w:val="1"/>
        </w:numPr>
        <w:spacing w:line="480" w:lineRule="auto"/>
        <w:jc w:val="both"/>
        <w:rPr>
          <w:rFonts w:ascii="Arial" w:hAnsi="Arial" w:cs="Arial"/>
          <w:sz w:val="24"/>
          <w:szCs w:val="24"/>
        </w:rPr>
      </w:pPr>
      <w:r w:rsidRPr="00363FB5">
        <w:rPr>
          <w:rFonts w:ascii="Arial" w:hAnsi="Arial" w:cs="Arial"/>
          <w:sz w:val="24"/>
          <w:szCs w:val="24"/>
        </w:rPr>
        <w:lastRenderedPageBreak/>
        <w:t xml:space="preserve">The unique systematic or background factors which may have played a part in bringing the aboriginal offenders before the courts; and </w:t>
      </w:r>
    </w:p>
    <w:p w14:paraId="08375545" w14:textId="77777777" w:rsidR="00DD6F57" w:rsidRPr="00363FB5" w:rsidRDefault="00DD6F57" w:rsidP="00363FB5">
      <w:pPr>
        <w:pStyle w:val="ListParagraph"/>
        <w:numPr>
          <w:ilvl w:val="0"/>
          <w:numId w:val="1"/>
        </w:numPr>
        <w:spacing w:line="480" w:lineRule="auto"/>
        <w:jc w:val="both"/>
        <w:rPr>
          <w:rFonts w:ascii="Arial" w:hAnsi="Arial" w:cs="Arial"/>
          <w:sz w:val="24"/>
          <w:szCs w:val="24"/>
        </w:rPr>
      </w:pPr>
      <w:r w:rsidRPr="00363FB5">
        <w:rPr>
          <w:rFonts w:ascii="Arial" w:hAnsi="Arial" w:cs="Arial"/>
          <w:sz w:val="24"/>
          <w:szCs w:val="24"/>
        </w:rPr>
        <w:t xml:space="preserve">The types of sentencing procedures and sanctions which may be appropriate in the circumstances for the offender because of his or her aboriginal heritage or connection. </w:t>
      </w:r>
    </w:p>
    <w:p w14:paraId="4DCEE399" w14:textId="77777777" w:rsidR="00DD6F57" w:rsidRPr="00363FB5" w:rsidRDefault="00DD6F57" w:rsidP="00363FB5">
      <w:pPr>
        <w:spacing w:line="480" w:lineRule="auto"/>
        <w:jc w:val="both"/>
        <w:rPr>
          <w:rFonts w:ascii="Arial" w:hAnsi="Arial" w:cs="Arial"/>
          <w:sz w:val="24"/>
          <w:szCs w:val="24"/>
        </w:rPr>
      </w:pPr>
      <w:r w:rsidRPr="00363FB5">
        <w:rPr>
          <w:rFonts w:ascii="Arial" w:hAnsi="Arial" w:cs="Arial"/>
          <w:sz w:val="24"/>
          <w:szCs w:val="24"/>
        </w:rPr>
        <w:t xml:space="preserve">Arguably, the failure to ameliorate the </w:t>
      </w:r>
      <w:r w:rsidR="00D675F0">
        <w:rPr>
          <w:rFonts w:ascii="Arial" w:hAnsi="Arial" w:cs="Arial"/>
          <w:sz w:val="24"/>
          <w:szCs w:val="24"/>
        </w:rPr>
        <w:t>over-</w:t>
      </w:r>
      <w:r w:rsidR="00D675F0" w:rsidRPr="00363FB5">
        <w:rPr>
          <w:rFonts w:ascii="Arial" w:hAnsi="Arial" w:cs="Arial"/>
          <w:sz w:val="24"/>
          <w:szCs w:val="24"/>
        </w:rPr>
        <w:t>incarceration</w:t>
      </w:r>
      <w:r w:rsidRPr="00363FB5">
        <w:rPr>
          <w:rFonts w:ascii="Arial" w:hAnsi="Arial" w:cs="Arial"/>
          <w:sz w:val="24"/>
          <w:szCs w:val="24"/>
        </w:rPr>
        <w:t xml:space="preserve"> of Indigenous people has been </w:t>
      </w:r>
      <w:r w:rsidR="00D5591C">
        <w:rPr>
          <w:rFonts w:ascii="Arial" w:hAnsi="Arial" w:cs="Arial"/>
          <w:sz w:val="24"/>
          <w:szCs w:val="24"/>
        </w:rPr>
        <w:t>due to</w:t>
      </w:r>
      <w:r w:rsidR="003418FC" w:rsidRPr="00363FB5">
        <w:rPr>
          <w:rFonts w:ascii="Arial" w:hAnsi="Arial" w:cs="Arial"/>
          <w:sz w:val="24"/>
          <w:szCs w:val="24"/>
        </w:rPr>
        <w:t xml:space="preserve"> </w:t>
      </w:r>
      <w:r w:rsidRPr="00363FB5">
        <w:rPr>
          <w:rFonts w:ascii="Arial" w:hAnsi="Arial" w:cs="Arial"/>
          <w:sz w:val="24"/>
          <w:szCs w:val="24"/>
        </w:rPr>
        <w:t>we</w:t>
      </w:r>
      <w:r w:rsidR="003418FC" w:rsidRPr="00363FB5">
        <w:rPr>
          <w:rFonts w:ascii="Arial" w:hAnsi="Arial" w:cs="Arial"/>
          <w:sz w:val="24"/>
          <w:szCs w:val="24"/>
        </w:rPr>
        <w:t>ak</w:t>
      </w:r>
      <w:r w:rsidRPr="00363FB5">
        <w:rPr>
          <w:rFonts w:ascii="Arial" w:hAnsi="Arial" w:cs="Arial"/>
          <w:sz w:val="24"/>
          <w:szCs w:val="24"/>
        </w:rPr>
        <w:t xml:space="preserve"> and inconsistent application of</w:t>
      </w:r>
      <w:r w:rsidR="00D5591C">
        <w:rPr>
          <w:rFonts w:ascii="Arial" w:hAnsi="Arial" w:cs="Arial"/>
          <w:sz w:val="24"/>
          <w:szCs w:val="24"/>
        </w:rPr>
        <w:t xml:space="preserve"> the</w:t>
      </w:r>
      <w:r w:rsidRPr="00363FB5">
        <w:rPr>
          <w:rFonts w:ascii="Arial" w:hAnsi="Arial" w:cs="Arial"/>
          <w:sz w:val="24"/>
          <w:szCs w:val="24"/>
        </w:rPr>
        <w:t xml:space="preserve"> </w:t>
      </w:r>
      <w:r w:rsidRPr="00D5591C">
        <w:rPr>
          <w:rFonts w:ascii="Arial" w:hAnsi="Arial" w:cs="Arial"/>
          <w:i/>
          <w:sz w:val="24"/>
          <w:szCs w:val="24"/>
        </w:rPr>
        <w:t>Gladue</w:t>
      </w:r>
      <w:r w:rsidRPr="00363FB5">
        <w:rPr>
          <w:rFonts w:ascii="Arial" w:hAnsi="Arial" w:cs="Arial"/>
          <w:sz w:val="24"/>
          <w:szCs w:val="24"/>
        </w:rPr>
        <w:t xml:space="preserve"> principles. Commitment across jurisdictions has been uneven, particularly those provinces with the highest population of Indigenous people. </w:t>
      </w:r>
    </w:p>
    <w:p w14:paraId="14FE52E1" w14:textId="77777777" w:rsidR="005827DE" w:rsidRPr="00363FB5" w:rsidRDefault="00634806" w:rsidP="00363FB5">
      <w:pPr>
        <w:spacing w:line="480" w:lineRule="auto"/>
        <w:jc w:val="both"/>
        <w:rPr>
          <w:rFonts w:ascii="Arial" w:hAnsi="Arial" w:cs="Arial"/>
          <w:sz w:val="24"/>
          <w:szCs w:val="24"/>
        </w:rPr>
      </w:pPr>
      <w:r w:rsidRPr="00363FB5">
        <w:rPr>
          <w:rFonts w:ascii="Arial" w:hAnsi="Arial" w:cs="Arial"/>
          <w:sz w:val="24"/>
          <w:szCs w:val="24"/>
        </w:rPr>
        <w:t xml:space="preserve">Proper consideration of </w:t>
      </w:r>
      <w:r w:rsidRPr="00363FB5">
        <w:rPr>
          <w:rFonts w:ascii="Arial" w:hAnsi="Arial" w:cs="Arial"/>
          <w:i/>
          <w:iCs/>
          <w:sz w:val="24"/>
          <w:szCs w:val="24"/>
        </w:rPr>
        <w:t xml:space="preserve">Gladue </w:t>
      </w:r>
      <w:r w:rsidRPr="00363FB5">
        <w:rPr>
          <w:rFonts w:ascii="Arial" w:hAnsi="Arial" w:cs="Arial"/>
          <w:sz w:val="24"/>
          <w:szCs w:val="24"/>
        </w:rPr>
        <w:t xml:space="preserve">factors is a powerful tool for addressing the crisis of </w:t>
      </w:r>
      <w:r w:rsidR="00D5591C">
        <w:rPr>
          <w:rFonts w:ascii="Arial" w:hAnsi="Arial" w:cs="Arial"/>
          <w:sz w:val="24"/>
          <w:szCs w:val="24"/>
        </w:rPr>
        <w:t xml:space="preserve">Indigenous over-incarceration. </w:t>
      </w:r>
      <w:r w:rsidRPr="00363FB5">
        <w:rPr>
          <w:rFonts w:ascii="Arial" w:hAnsi="Arial" w:cs="Arial"/>
          <w:sz w:val="24"/>
          <w:szCs w:val="24"/>
        </w:rPr>
        <w:t xml:space="preserve">One way to provide context and important information is by way of a </w:t>
      </w:r>
      <w:r w:rsidRPr="00D5591C">
        <w:rPr>
          <w:rFonts w:ascii="Arial" w:hAnsi="Arial" w:cs="Arial"/>
          <w:sz w:val="24"/>
          <w:szCs w:val="24"/>
        </w:rPr>
        <w:t xml:space="preserve">Gladue </w:t>
      </w:r>
      <w:r w:rsidR="00D5591C">
        <w:rPr>
          <w:rFonts w:ascii="Arial" w:hAnsi="Arial" w:cs="Arial"/>
          <w:sz w:val="24"/>
          <w:szCs w:val="24"/>
        </w:rPr>
        <w:t>a</w:t>
      </w:r>
      <w:r w:rsidRPr="00363FB5">
        <w:rPr>
          <w:rFonts w:ascii="Arial" w:hAnsi="Arial" w:cs="Arial"/>
          <w:sz w:val="24"/>
          <w:szCs w:val="24"/>
        </w:rPr>
        <w:t>ssessment.</w:t>
      </w:r>
      <w:r w:rsidR="00D5591C">
        <w:rPr>
          <w:rFonts w:ascii="Arial" w:hAnsi="Arial" w:cs="Arial"/>
          <w:sz w:val="24"/>
          <w:szCs w:val="24"/>
        </w:rPr>
        <w:t xml:space="preserve"> The case R</w:t>
      </w:r>
      <w:r w:rsidR="005827DE" w:rsidRPr="00363FB5">
        <w:rPr>
          <w:rFonts w:ascii="Arial" w:hAnsi="Arial" w:cs="Arial"/>
          <w:sz w:val="24"/>
          <w:szCs w:val="24"/>
        </w:rPr>
        <w:t xml:space="preserve"> v. </w:t>
      </w:r>
      <w:proofErr w:type="spellStart"/>
      <w:r w:rsidR="005827DE" w:rsidRPr="00363FB5">
        <w:rPr>
          <w:rFonts w:ascii="Arial" w:hAnsi="Arial" w:cs="Arial"/>
          <w:sz w:val="24"/>
          <w:szCs w:val="24"/>
        </w:rPr>
        <w:t>Ipeelee</w:t>
      </w:r>
      <w:proofErr w:type="spellEnd"/>
      <w:r w:rsidR="005827DE" w:rsidRPr="00363FB5">
        <w:rPr>
          <w:rFonts w:ascii="Arial" w:hAnsi="Arial" w:cs="Arial"/>
          <w:sz w:val="24"/>
          <w:szCs w:val="24"/>
        </w:rPr>
        <w:t xml:space="preserve"> (</w:t>
      </w:r>
      <w:proofErr w:type="spellStart"/>
      <w:r w:rsidR="005827DE" w:rsidRPr="00D5591C">
        <w:rPr>
          <w:rFonts w:ascii="Arial" w:hAnsi="Arial" w:cs="Arial"/>
          <w:i/>
          <w:sz w:val="24"/>
          <w:szCs w:val="24"/>
        </w:rPr>
        <w:t>Ipeelee</w:t>
      </w:r>
      <w:proofErr w:type="spellEnd"/>
      <w:r w:rsidR="005827DE" w:rsidRPr="00363FB5">
        <w:rPr>
          <w:rFonts w:ascii="Arial" w:hAnsi="Arial" w:cs="Arial"/>
          <w:sz w:val="24"/>
          <w:szCs w:val="24"/>
        </w:rPr>
        <w:t>) involved two men</w:t>
      </w:r>
      <w:r w:rsidR="00D5591C">
        <w:rPr>
          <w:rFonts w:ascii="Arial" w:hAnsi="Arial" w:cs="Arial"/>
          <w:sz w:val="24"/>
          <w:szCs w:val="24"/>
        </w:rPr>
        <w:t xml:space="preserve"> </w:t>
      </w:r>
      <w:r w:rsidR="005827DE" w:rsidRPr="00363FB5">
        <w:rPr>
          <w:rFonts w:ascii="Arial" w:hAnsi="Arial" w:cs="Arial"/>
          <w:sz w:val="24"/>
          <w:szCs w:val="24"/>
        </w:rPr>
        <w:t>—</w:t>
      </w:r>
      <w:r w:rsidR="00D5591C">
        <w:rPr>
          <w:rFonts w:ascii="Arial" w:hAnsi="Arial" w:cs="Arial"/>
          <w:sz w:val="24"/>
          <w:szCs w:val="24"/>
        </w:rPr>
        <w:t xml:space="preserve"> </w:t>
      </w:r>
      <w:r w:rsidR="005827DE" w:rsidRPr="00363FB5">
        <w:rPr>
          <w:rFonts w:ascii="Arial" w:hAnsi="Arial" w:cs="Arial"/>
          <w:sz w:val="24"/>
          <w:szCs w:val="24"/>
        </w:rPr>
        <w:t xml:space="preserve">one from Yukon, </w:t>
      </w:r>
      <w:r w:rsidR="005827DE" w:rsidRPr="00363FB5">
        <w:rPr>
          <w:rFonts w:ascii="Arial" w:hAnsi="Arial" w:cs="Arial"/>
          <w:sz w:val="24"/>
          <w:szCs w:val="24"/>
        </w:rPr>
        <w:lastRenderedPageBreak/>
        <w:t xml:space="preserve">the other from Nunavut, both with serious alcohol problems going back to their youth, both with long criminal records, both from broken families, and both with links to residential schools. The argument that reached the </w:t>
      </w:r>
      <w:r w:rsidR="00D5591C">
        <w:rPr>
          <w:rFonts w:ascii="Arial" w:hAnsi="Arial" w:cs="Arial"/>
          <w:sz w:val="24"/>
          <w:szCs w:val="24"/>
        </w:rPr>
        <w:t>SCC</w:t>
      </w:r>
      <w:r w:rsidR="005827DE" w:rsidRPr="00363FB5">
        <w:rPr>
          <w:rFonts w:ascii="Arial" w:hAnsi="Arial" w:cs="Arial"/>
          <w:sz w:val="24"/>
          <w:szCs w:val="24"/>
        </w:rPr>
        <w:t xml:space="preserve"> concerned the breach of their long-term supervision order. In its 2012 ruling, the Court reduced the sentence of one man and affirmed </w:t>
      </w:r>
      <w:r w:rsidR="00D5591C">
        <w:rPr>
          <w:rFonts w:ascii="Arial" w:hAnsi="Arial" w:cs="Arial"/>
          <w:sz w:val="24"/>
          <w:szCs w:val="24"/>
        </w:rPr>
        <w:t xml:space="preserve">that of </w:t>
      </w:r>
      <w:r w:rsidR="005827DE" w:rsidRPr="00363FB5">
        <w:rPr>
          <w:rFonts w:ascii="Arial" w:hAnsi="Arial" w:cs="Arial"/>
          <w:sz w:val="24"/>
          <w:szCs w:val="24"/>
        </w:rPr>
        <w:t xml:space="preserve">the other. </w:t>
      </w:r>
      <w:r w:rsidR="00D5591C">
        <w:rPr>
          <w:rFonts w:ascii="Arial" w:hAnsi="Arial" w:cs="Arial"/>
          <w:sz w:val="24"/>
          <w:szCs w:val="24"/>
        </w:rPr>
        <w:t xml:space="preserve">Importantly, in </w:t>
      </w:r>
      <w:proofErr w:type="spellStart"/>
      <w:r w:rsidR="00D5591C" w:rsidRPr="00D5591C">
        <w:rPr>
          <w:rFonts w:ascii="Arial" w:hAnsi="Arial" w:cs="Arial"/>
          <w:i/>
          <w:sz w:val="24"/>
          <w:szCs w:val="24"/>
        </w:rPr>
        <w:t>Ipeelee</w:t>
      </w:r>
      <w:proofErr w:type="spellEnd"/>
      <w:r w:rsidR="00D5591C">
        <w:rPr>
          <w:rFonts w:ascii="Arial" w:hAnsi="Arial" w:cs="Arial"/>
          <w:sz w:val="24"/>
          <w:szCs w:val="24"/>
        </w:rPr>
        <w:t xml:space="preserve">, the SCC </w:t>
      </w:r>
      <w:r w:rsidR="005827DE" w:rsidRPr="00363FB5">
        <w:rPr>
          <w:rFonts w:ascii="Arial" w:hAnsi="Arial" w:cs="Arial"/>
          <w:sz w:val="24"/>
          <w:szCs w:val="24"/>
        </w:rPr>
        <w:t>revisit</w:t>
      </w:r>
      <w:r w:rsidR="00D5591C">
        <w:rPr>
          <w:rFonts w:ascii="Arial" w:hAnsi="Arial" w:cs="Arial"/>
          <w:sz w:val="24"/>
          <w:szCs w:val="24"/>
        </w:rPr>
        <w:t>ed</w:t>
      </w:r>
      <w:r w:rsidR="005827DE" w:rsidRPr="00363FB5">
        <w:rPr>
          <w:rFonts w:ascii="Arial" w:hAnsi="Arial" w:cs="Arial"/>
          <w:sz w:val="24"/>
          <w:szCs w:val="24"/>
        </w:rPr>
        <w:t xml:space="preserve"> and reaffirm</w:t>
      </w:r>
      <w:r w:rsidR="00D5591C">
        <w:rPr>
          <w:rFonts w:ascii="Arial" w:hAnsi="Arial" w:cs="Arial"/>
          <w:sz w:val="24"/>
          <w:szCs w:val="24"/>
        </w:rPr>
        <w:t>ed</w:t>
      </w:r>
      <w:r w:rsidR="005827DE" w:rsidRPr="00363FB5">
        <w:rPr>
          <w:rFonts w:ascii="Arial" w:hAnsi="Arial" w:cs="Arial"/>
          <w:sz w:val="24"/>
          <w:szCs w:val="24"/>
        </w:rPr>
        <w:t xml:space="preserve"> </w:t>
      </w:r>
      <w:r w:rsidR="005827DE" w:rsidRPr="00D5591C">
        <w:rPr>
          <w:rFonts w:ascii="Arial" w:hAnsi="Arial" w:cs="Arial"/>
          <w:i/>
          <w:sz w:val="24"/>
          <w:szCs w:val="24"/>
        </w:rPr>
        <w:t>Gladue</w:t>
      </w:r>
      <w:r w:rsidR="005827DE" w:rsidRPr="00363FB5">
        <w:rPr>
          <w:rFonts w:ascii="Arial" w:hAnsi="Arial" w:cs="Arial"/>
          <w:sz w:val="24"/>
          <w:szCs w:val="24"/>
        </w:rPr>
        <w:t xml:space="preserve">. The justices noted that the problem of Aboriginal overrepresentation had gotten worse in the thirteen years since </w:t>
      </w:r>
      <w:r w:rsidR="005827DE" w:rsidRPr="00D5591C">
        <w:rPr>
          <w:rFonts w:ascii="Arial" w:hAnsi="Arial" w:cs="Arial"/>
          <w:i/>
          <w:sz w:val="24"/>
          <w:szCs w:val="24"/>
        </w:rPr>
        <w:t>Gladue</w:t>
      </w:r>
      <w:r w:rsidR="005827DE" w:rsidRPr="00363FB5">
        <w:rPr>
          <w:rFonts w:ascii="Arial" w:hAnsi="Arial" w:cs="Arial"/>
          <w:sz w:val="24"/>
          <w:szCs w:val="24"/>
        </w:rPr>
        <w:t xml:space="preserve"> was decided. The Court pointed out that while Aboriginal people comprised 12% of federal inmates in 1999 when </w:t>
      </w:r>
      <w:r w:rsidR="005827DE" w:rsidRPr="00D5591C">
        <w:rPr>
          <w:rFonts w:ascii="Arial" w:hAnsi="Arial" w:cs="Arial"/>
          <w:i/>
          <w:sz w:val="24"/>
          <w:szCs w:val="24"/>
        </w:rPr>
        <w:t>Gladue</w:t>
      </w:r>
      <w:r w:rsidR="005827DE" w:rsidRPr="00363FB5">
        <w:rPr>
          <w:rFonts w:ascii="Arial" w:hAnsi="Arial" w:cs="Arial"/>
          <w:sz w:val="24"/>
          <w:szCs w:val="24"/>
        </w:rPr>
        <w:t xml:space="preserve"> was decided, they constituted 17% of federal admissions in 2005.</w:t>
      </w:r>
      <w:r w:rsidR="005827DE" w:rsidRPr="00363FB5">
        <w:rPr>
          <w:rStyle w:val="FootnoteReference"/>
          <w:rFonts w:ascii="Arial" w:hAnsi="Arial" w:cs="Arial"/>
          <w:sz w:val="24"/>
          <w:szCs w:val="24"/>
        </w:rPr>
        <w:footnoteReference w:id="5"/>
      </w:r>
    </w:p>
    <w:p w14:paraId="7BBE4399" w14:textId="77777777" w:rsidR="005827DE" w:rsidRPr="00363FB5" w:rsidRDefault="005827DE" w:rsidP="00363FB5">
      <w:pPr>
        <w:spacing w:line="480" w:lineRule="auto"/>
        <w:jc w:val="both"/>
        <w:rPr>
          <w:rFonts w:ascii="Arial" w:hAnsi="Arial" w:cs="Arial"/>
          <w:sz w:val="24"/>
          <w:szCs w:val="24"/>
        </w:rPr>
      </w:pPr>
      <w:r w:rsidRPr="00363FB5">
        <w:rPr>
          <w:rFonts w:ascii="Arial" w:hAnsi="Arial" w:cs="Arial"/>
          <w:sz w:val="24"/>
          <w:szCs w:val="24"/>
        </w:rPr>
        <w:t xml:space="preserve">The </w:t>
      </w:r>
      <w:r w:rsidR="00D5591C">
        <w:rPr>
          <w:rFonts w:ascii="Arial" w:hAnsi="Arial" w:cs="Arial"/>
          <w:sz w:val="24"/>
          <w:szCs w:val="24"/>
        </w:rPr>
        <w:t>SCC</w:t>
      </w:r>
      <w:r w:rsidRPr="00363FB5">
        <w:rPr>
          <w:rFonts w:ascii="Arial" w:hAnsi="Arial" w:cs="Arial"/>
          <w:sz w:val="24"/>
          <w:szCs w:val="24"/>
        </w:rPr>
        <w:t xml:space="preserve"> pointed out that some lower court judges had erred in their application of </w:t>
      </w:r>
      <w:r w:rsidRPr="00D5591C">
        <w:rPr>
          <w:rFonts w:ascii="Arial" w:hAnsi="Arial" w:cs="Arial"/>
          <w:i/>
          <w:sz w:val="24"/>
          <w:szCs w:val="24"/>
        </w:rPr>
        <w:t>Gladue</w:t>
      </w:r>
      <w:r w:rsidRPr="00363FB5">
        <w:rPr>
          <w:rFonts w:ascii="Arial" w:hAnsi="Arial" w:cs="Arial"/>
          <w:sz w:val="24"/>
          <w:szCs w:val="24"/>
        </w:rPr>
        <w:t xml:space="preserve"> by concluding that it did not apply to serious </w:t>
      </w:r>
      <w:r w:rsidRPr="00363FB5">
        <w:rPr>
          <w:rFonts w:ascii="Arial" w:hAnsi="Arial" w:cs="Arial"/>
          <w:sz w:val="24"/>
          <w:szCs w:val="24"/>
        </w:rPr>
        <w:lastRenderedPageBreak/>
        <w:t xml:space="preserve">offences or that it required an offender to demonstrate a causal connection between the commission of the crime and the legacy of residential schools or other background or contextual factors. </w:t>
      </w:r>
      <w:r w:rsidRPr="00D5591C">
        <w:rPr>
          <w:rFonts w:ascii="Arial" w:hAnsi="Arial" w:cs="Arial"/>
          <w:i/>
          <w:sz w:val="24"/>
          <w:szCs w:val="24"/>
        </w:rPr>
        <w:t>Gladue</w:t>
      </w:r>
      <w:r w:rsidRPr="00363FB5">
        <w:rPr>
          <w:rFonts w:ascii="Arial" w:hAnsi="Arial" w:cs="Arial"/>
          <w:sz w:val="24"/>
          <w:szCs w:val="24"/>
        </w:rPr>
        <w:t xml:space="preserve"> mandates trial judges to consider all the background factors for Aboriginal offenders. This was clear direction from the </w:t>
      </w:r>
      <w:r w:rsidR="00D5591C">
        <w:rPr>
          <w:rFonts w:ascii="Arial" w:hAnsi="Arial" w:cs="Arial"/>
          <w:sz w:val="24"/>
          <w:szCs w:val="24"/>
        </w:rPr>
        <w:t>SCC</w:t>
      </w:r>
      <w:r w:rsidRPr="00363FB5">
        <w:rPr>
          <w:rFonts w:ascii="Arial" w:hAnsi="Arial" w:cs="Arial"/>
          <w:sz w:val="24"/>
          <w:szCs w:val="24"/>
        </w:rPr>
        <w:t>’s ruling that offenders need not demonstrate a direct causal relationship between the legacy of residential schools and the commission of offences.</w:t>
      </w:r>
      <w:r w:rsidRPr="00363FB5">
        <w:rPr>
          <w:rStyle w:val="FootnoteReference"/>
          <w:rFonts w:ascii="Arial" w:hAnsi="Arial" w:cs="Arial"/>
          <w:sz w:val="24"/>
          <w:szCs w:val="24"/>
        </w:rPr>
        <w:footnoteReference w:id="6"/>
      </w:r>
    </w:p>
    <w:p w14:paraId="4D3437D2" w14:textId="77777777" w:rsidR="007367C5" w:rsidRPr="00363FB5" w:rsidRDefault="007367C5" w:rsidP="00363FB5">
      <w:pPr>
        <w:spacing w:line="480" w:lineRule="auto"/>
        <w:jc w:val="both"/>
        <w:rPr>
          <w:rFonts w:ascii="Arial" w:hAnsi="Arial" w:cs="Arial"/>
          <w:b/>
          <w:sz w:val="24"/>
          <w:szCs w:val="24"/>
          <w:u w:val="single"/>
        </w:rPr>
      </w:pPr>
      <w:r w:rsidRPr="00363FB5">
        <w:rPr>
          <w:rFonts w:ascii="Arial" w:hAnsi="Arial" w:cs="Arial"/>
          <w:b/>
          <w:sz w:val="24"/>
          <w:szCs w:val="24"/>
          <w:u w:val="single"/>
        </w:rPr>
        <w:t>Gladue Information</w:t>
      </w:r>
    </w:p>
    <w:p w14:paraId="674E5B36" w14:textId="77777777" w:rsidR="00EB39B7" w:rsidRPr="00363FB5" w:rsidRDefault="00EA1AB1" w:rsidP="00363FB5">
      <w:pPr>
        <w:spacing w:line="480" w:lineRule="auto"/>
        <w:jc w:val="both"/>
        <w:rPr>
          <w:rFonts w:ascii="Arial" w:hAnsi="Arial" w:cs="Arial"/>
          <w:sz w:val="24"/>
          <w:szCs w:val="24"/>
        </w:rPr>
      </w:pPr>
      <w:r>
        <w:rPr>
          <w:rFonts w:ascii="Arial" w:hAnsi="Arial" w:cs="Arial"/>
          <w:sz w:val="24"/>
          <w:szCs w:val="24"/>
        </w:rPr>
        <w:t xml:space="preserve">One issue of concern is the nature and status of </w:t>
      </w:r>
      <w:r w:rsidR="007367C5" w:rsidRPr="00363FB5">
        <w:rPr>
          <w:rFonts w:ascii="Arial" w:hAnsi="Arial" w:cs="Arial"/>
          <w:sz w:val="24"/>
          <w:szCs w:val="24"/>
        </w:rPr>
        <w:t xml:space="preserve">comprehensive </w:t>
      </w:r>
      <w:r w:rsidR="007367C5" w:rsidRPr="00D5591C">
        <w:rPr>
          <w:rFonts w:ascii="Arial" w:hAnsi="Arial" w:cs="Arial"/>
          <w:sz w:val="24"/>
          <w:szCs w:val="24"/>
        </w:rPr>
        <w:t xml:space="preserve">Gladue </w:t>
      </w:r>
      <w:r w:rsidR="00D5591C">
        <w:rPr>
          <w:rFonts w:ascii="Arial" w:hAnsi="Arial" w:cs="Arial"/>
          <w:sz w:val="24"/>
          <w:szCs w:val="24"/>
        </w:rPr>
        <w:t>a</w:t>
      </w:r>
      <w:r w:rsidR="007367C5" w:rsidRPr="00363FB5">
        <w:rPr>
          <w:rFonts w:ascii="Arial" w:hAnsi="Arial" w:cs="Arial"/>
          <w:sz w:val="24"/>
          <w:szCs w:val="24"/>
        </w:rPr>
        <w:t xml:space="preserve">ssessments or Gladue </w:t>
      </w:r>
      <w:r w:rsidR="00D5591C">
        <w:rPr>
          <w:rFonts w:ascii="Arial" w:hAnsi="Arial" w:cs="Arial"/>
          <w:sz w:val="24"/>
          <w:szCs w:val="24"/>
        </w:rPr>
        <w:t>r</w:t>
      </w:r>
      <w:r w:rsidR="007367C5" w:rsidRPr="00363FB5">
        <w:rPr>
          <w:rFonts w:ascii="Arial" w:hAnsi="Arial" w:cs="Arial"/>
          <w:sz w:val="24"/>
          <w:szCs w:val="24"/>
        </w:rPr>
        <w:t xml:space="preserve">eports </w:t>
      </w:r>
      <w:r>
        <w:rPr>
          <w:rFonts w:ascii="Arial" w:hAnsi="Arial" w:cs="Arial"/>
          <w:sz w:val="24"/>
          <w:szCs w:val="24"/>
        </w:rPr>
        <w:t>presented to the Courts</w:t>
      </w:r>
      <w:r w:rsidR="007367C5" w:rsidRPr="00363FB5">
        <w:rPr>
          <w:rFonts w:ascii="Arial" w:hAnsi="Arial" w:cs="Arial"/>
          <w:sz w:val="24"/>
          <w:szCs w:val="24"/>
        </w:rPr>
        <w:t xml:space="preserve">. </w:t>
      </w:r>
    </w:p>
    <w:p w14:paraId="440E2459" w14:textId="77777777" w:rsidR="000359F7" w:rsidRPr="00363FB5" w:rsidRDefault="007367C5" w:rsidP="00363FB5">
      <w:pPr>
        <w:spacing w:line="480" w:lineRule="auto"/>
        <w:jc w:val="both"/>
        <w:rPr>
          <w:rFonts w:ascii="Arial" w:hAnsi="Arial" w:cs="Arial"/>
          <w:sz w:val="24"/>
          <w:szCs w:val="24"/>
        </w:rPr>
      </w:pPr>
      <w:r w:rsidRPr="00363FB5">
        <w:rPr>
          <w:rFonts w:ascii="Arial" w:hAnsi="Arial" w:cs="Arial"/>
          <w:sz w:val="24"/>
          <w:szCs w:val="24"/>
        </w:rPr>
        <w:t>I</w:t>
      </w:r>
      <w:r w:rsidR="000359F7" w:rsidRPr="00363FB5">
        <w:rPr>
          <w:rFonts w:ascii="Arial" w:hAnsi="Arial" w:cs="Arial"/>
          <w:sz w:val="24"/>
          <w:szCs w:val="24"/>
        </w:rPr>
        <w:t xml:space="preserve">n some jurisdictions </w:t>
      </w:r>
      <w:r w:rsidRPr="00363FB5">
        <w:rPr>
          <w:rFonts w:ascii="Arial" w:hAnsi="Arial" w:cs="Arial"/>
          <w:sz w:val="24"/>
          <w:szCs w:val="24"/>
        </w:rPr>
        <w:t xml:space="preserve">there has been </w:t>
      </w:r>
      <w:r w:rsidR="000359F7" w:rsidRPr="00363FB5">
        <w:rPr>
          <w:rFonts w:ascii="Arial" w:hAnsi="Arial" w:cs="Arial"/>
          <w:sz w:val="24"/>
          <w:szCs w:val="24"/>
        </w:rPr>
        <w:t xml:space="preserve">the introduction of more extensive pre-sentence or Gladue reports that provide the sentencing </w:t>
      </w:r>
      <w:r w:rsidR="000359F7" w:rsidRPr="00363FB5">
        <w:rPr>
          <w:rFonts w:ascii="Arial" w:hAnsi="Arial" w:cs="Arial"/>
          <w:sz w:val="24"/>
          <w:szCs w:val="24"/>
        </w:rPr>
        <w:lastRenderedPageBreak/>
        <w:t>judge with contextual information on the background of Aboriginal offenders. Producing these reports has not been without difficulty and controversy. In 20</w:t>
      </w:r>
      <w:r w:rsidR="00FA70D0" w:rsidRPr="00363FB5">
        <w:rPr>
          <w:rFonts w:ascii="Arial" w:hAnsi="Arial" w:cs="Arial"/>
          <w:sz w:val="24"/>
          <w:szCs w:val="24"/>
        </w:rPr>
        <w:t>12, the Globe and Mail reported:</w:t>
      </w:r>
    </w:p>
    <w:p w14:paraId="6D953C3A" w14:textId="77777777" w:rsidR="000359F7" w:rsidRPr="00363FB5" w:rsidRDefault="000359F7" w:rsidP="00363FB5">
      <w:pPr>
        <w:spacing w:line="480" w:lineRule="auto"/>
        <w:ind w:left="850" w:right="1531"/>
        <w:jc w:val="both"/>
        <w:rPr>
          <w:rFonts w:ascii="Arial" w:hAnsi="Arial" w:cs="Arial"/>
          <w:sz w:val="24"/>
          <w:szCs w:val="24"/>
        </w:rPr>
      </w:pPr>
      <w:r w:rsidRPr="00363FB5">
        <w:rPr>
          <w:rFonts w:ascii="Arial" w:hAnsi="Arial" w:cs="Arial"/>
          <w:sz w:val="24"/>
          <w:szCs w:val="24"/>
        </w:rPr>
        <w:t>Saskatchewan, Alberta and Manitoba have barely begun to produce [Gladue] reports. While the number in Alberta has shot up from 14 in 2011 to 100 that are now in production, most of them are being prepared by probation officers</w:t>
      </w:r>
      <w:r w:rsidR="00936E9F">
        <w:rPr>
          <w:rFonts w:ascii="Arial" w:hAnsi="Arial" w:cs="Arial"/>
          <w:sz w:val="24"/>
          <w:szCs w:val="24"/>
        </w:rPr>
        <w:t xml:space="preserve"> </w:t>
      </w:r>
      <w:r w:rsidRPr="00363FB5">
        <w:rPr>
          <w:rFonts w:ascii="Arial" w:hAnsi="Arial" w:cs="Arial"/>
          <w:sz w:val="24"/>
          <w:szCs w:val="24"/>
        </w:rPr>
        <w:t>—</w:t>
      </w:r>
      <w:r w:rsidR="00936E9F">
        <w:rPr>
          <w:rFonts w:ascii="Arial" w:hAnsi="Arial" w:cs="Arial"/>
          <w:sz w:val="24"/>
          <w:szCs w:val="24"/>
        </w:rPr>
        <w:t xml:space="preserve"> </w:t>
      </w:r>
      <w:r w:rsidRPr="00363FB5">
        <w:rPr>
          <w:rFonts w:ascii="Arial" w:hAnsi="Arial" w:cs="Arial"/>
          <w:sz w:val="24"/>
          <w:szCs w:val="24"/>
        </w:rPr>
        <w:t>who are trained to assess risk factors but have no particular understanding of aboriginal culture and history. In Quebec, Gladue reports are almost unheard of.</w:t>
      </w:r>
      <w:r w:rsidRPr="00363FB5">
        <w:rPr>
          <w:rStyle w:val="FootnoteReference"/>
          <w:rFonts w:ascii="Arial" w:hAnsi="Arial" w:cs="Arial"/>
          <w:sz w:val="24"/>
          <w:szCs w:val="24"/>
        </w:rPr>
        <w:footnoteReference w:id="7"/>
      </w:r>
    </w:p>
    <w:p w14:paraId="11346B5E" w14:textId="77777777" w:rsidR="00BC476E" w:rsidRPr="00363FB5" w:rsidRDefault="00BC476E" w:rsidP="00363FB5">
      <w:pPr>
        <w:spacing w:line="480" w:lineRule="auto"/>
        <w:jc w:val="both"/>
        <w:rPr>
          <w:rFonts w:ascii="Arial" w:hAnsi="Arial" w:cs="Arial"/>
          <w:sz w:val="24"/>
          <w:szCs w:val="24"/>
        </w:rPr>
      </w:pPr>
      <w:r w:rsidRPr="00363FB5">
        <w:rPr>
          <w:rFonts w:ascii="Arial" w:hAnsi="Arial" w:cs="Arial"/>
          <w:sz w:val="24"/>
          <w:szCs w:val="24"/>
        </w:rPr>
        <w:lastRenderedPageBreak/>
        <w:t xml:space="preserve">Although the term Gladue </w:t>
      </w:r>
      <w:r w:rsidR="00936E9F">
        <w:rPr>
          <w:rFonts w:ascii="Arial" w:hAnsi="Arial" w:cs="Arial"/>
          <w:sz w:val="24"/>
          <w:szCs w:val="24"/>
        </w:rPr>
        <w:t>r</w:t>
      </w:r>
      <w:r w:rsidRPr="00363FB5">
        <w:rPr>
          <w:rFonts w:ascii="Arial" w:hAnsi="Arial" w:cs="Arial"/>
          <w:sz w:val="24"/>
          <w:szCs w:val="24"/>
        </w:rPr>
        <w:t>eport has now entered the legal lexicon in Canada there is no precise form for these reports</w:t>
      </w:r>
      <w:r w:rsidR="00901FD8" w:rsidRPr="00363FB5">
        <w:rPr>
          <w:rFonts w:ascii="Arial" w:hAnsi="Arial" w:cs="Arial"/>
          <w:sz w:val="24"/>
          <w:szCs w:val="24"/>
        </w:rPr>
        <w:t xml:space="preserve"> or a specific manner in which the reports can be requested.</w:t>
      </w:r>
      <w:r w:rsidR="00901FD8" w:rsidRPr="00363FB5">
        <w:rPr>
          <w:rStyle w:val="FootnoteReference"/>
          <w:rFonts w:ascii="Arial" w:hAnsi="Arial" w:cs="Arial"/>
          <w:sz w:val="24"/>
          <w:szCs w:val="24"/>
        </w:rPr>
        <w:footnoteReference w:id="8"/>
      </w:r>
    </w:p>
    <w:p w14:paraId="2307B703" w14:textId="77777777" w:rsidR="00901FD8" w:rsidRPr="00363FB5" w:rsidRDefault="00901FD8" w:rsidP="00363FB5">
      <w:pPr>
        <w:spacing w:line="480" w:lineRule="auto"/>
        <w:jc w:val="both"/>
        <w:rPr>
          <w:rFonts w:ascii="Arial" w:hAnsi="Arial" w:cs="Arial"/>
          <w:sz w:val="24"/>
          <w:szCs w:val="24"/>
        </w:rPr>
      </w:pPr>
      <w:r w:rsidRPr="00363FB5">
        <w:rPr>
          <w:rFonts w:ascii="Arial" w:hAnsi="Arial" w:cs="Arial"/>
          <w:sz w:val="24"/>
          <w:szCs w:val="24"/>
        </w:rPr>
        <w:t xml:space="preserve">Unlike pre-sentence reports, there is no provision in the </w:t>
      </w:r>
      <w:r w:rsidRPr="00936E9F">
        <w:rPr>
          <w:rFonts w:ascii="Arial" w:hAnsi="Arial" w:cs="Arial"/>
          <w:i/>
          <w:sz w:val="24"/>
          <w:szCs w:val="24"/>
        </w:rPr>
        <w:t>Criminal Code</w:t>
      </w:r>
      <w:r w:rsidRPr="00363FB5">
        <w:rPr>
          <w:rFonts w:ascii="Arial" w:hAnsi="Arial" w:cs="Arial"/>
          <w:sz w:val="24"/>
          <w:szCs w:val="24"/>
        </w:rPr>
        <w:t xml:space="preserve"> that would specifically empower </w:t>
      </w:r>
      <w:r w:rsidR="00D55634" w:rsidRPr="00363FB5">
        <w:rPr>
          <w:rFonts w:ascii="Arial" w:hAnsi="Arial" w:cs="Arial"/>
          <w:sz w:val="24"/>
          <w:szCs w:val="24"/>
        </w:rPr>
        <w:t>a judge to order such a report</w:t>
      </w:r>
      <w:r w:rsidR="00936E9F">
        <w:rPr>
          <w:rFonts w:ascii="Arial" w:hAnsi="Arial" w:cs="Arial"/>
          <w:sz w:val="24"/>
          <w:szCs w:val="24"/>
        </w:rPr>
        <w:t>. A</w:t>
      </w:r>
      <w:r w:rsidR="00D55634" w:rsidRPr="00363FB5">
        <w:rPr>
          <w:rFonts w:ascii="Arial" w:hAnsi="Arial" w:cs="Arial"/>
          <w:sz w:val="24"/>
          <w:szCs w:val="24"/>
        </w:rPr>
        <w:t xml:space="preserve">lthough there has been widespread recognition that Gladue </w:t>
      </w:r>
      <w:r w:rsidR="00936E9F">
        <w:rPr>
          <w:rFonts w:ascii="Arial" w:hAnsi="Arial" w:cs="Arial"/>
          <w:sz w:val="24"/>
          <w:szCs w:val="24"/>
        </w:rPr>
        <w:t>r</w:t>
      </w:r>
      <w:r w:rsidR="00D55634" w:rsidRPr="00363FB5">
        <w:rPr>
          <w:rFonts w:ascii="Arial" w:hAnsi="Arial" w:cs="Arial"/>
          <w:sz w:val="24"/>
          <w:szCs w:val="24"/>
        </w:rPr>
        <w:t xml:space="preserve">eports perform an important function at sentencing, the availability of these reports depends on the particular funding mechanism that does or does not exist in each province and territory. The ability to obtain a Gladue </w:t>
      </w:r>
      <w:r w:rsidR="00936E9F">
        <w:rPr>
          <w:rFonts w:ascii="Arial" w:hAnsi="Arial" w:cs="Arial"/>
          <w:sz w:val="24"/>
          <w:szCs w:val="24"/>
        </w:rPr>
        <w:t>r</w:t>
      </w:r>
      <w:r w:rsidR="00D55634" w:rsidRPr="00363FB5">
        <w:rPr>
          <w:rFonts w:ascii="Arial" w:hAnsi="Arial" w:cs="Arial"/>
          <w:sz w:val="24"/>
          <w:szCs w:val="24"/>
        </w:rPr>
        <w:t>eport for an Aboriginal offender is not a question of need, rather it is a question of whether the resources are available for the production of these reports.</w:t>
      </w:r>
      <w:r w:rsidR="00D55634" w:rsidRPr="00363FB5">
        <w:rPr>
          <w:rStyle w:val="FootnoteReference"/>
          <w:rFonts w:ascii="Arial" w:hAnsi="Arial" w:cs="Arial"/>
          <w:sz w:val="24"/>
          <w:szCs w:val="24"/>
        </w:rPr>
        <w:footnoteReference w:id="9"/>
      </w:r>
    </w:p>
    <w:p w14:paraId="7A04BAF7" w14:textId="77777777" w:rsidR="00D55634" w:rsidRPr="00363FB5" w:rsidRDefault="00520002" w:rsidP="00363FB5">
      <w:pPr>
        <w:spacing w:line="480" w:lineRule="auto"/>
        <w:jc w:val="both"/>
        <w:rPr>
          <w:rFonts w:ascii="Arial" w:hAnsi="Arial" w:cs="Arial"/>
          <w:sz w:val="24"/>
          <w:szCs w:val="24"/>
        </w:rPr>
      </w:pPr>
      <w:r w:rsidRPr="00363FB5">
        <w:rPr>
          <w:rFonts w:ascii="Arial" w:hAnsi="Arial" w:cs="Arial"/>
          <w:sz w:val="24"/>
          <w:szCs w:val="24"/>
        </w:rPr>
        <w:lastRenderedPageBreak/>
        <w:t xml:space="preserve">Rudin notes “to describe the availability of Gladue </w:t>
      </w:r>
      <w:r w:rsidR="00936E9F">
        <w:rPr>
          <w:rFonts w:ascii="Arial" w:hAnsi="Arial" w:cs="Arial"/>
          <w:sz w:val="24"/>
          <w:szCs w:val="24"/>
        </w:rPr>
        <w:t>r</w:t>
      </w:r>
      <w:r w:rsidRPr="00363FB5">
        <w:rPr>
          <w:rFonts w:ascii="Arial" w:hAnsi="Arial" w:cs="Arial"/>
          <w:sz w:val="24"/>
          <w:szCs w:val="24"/>
        </w:rPr>
        <w:t>eports across the country as a patchwork quilt would do a disservice to quilt makers. Even patchwork quilts do not have huge holes in them</w:t>
      </w:r>
      <w:r w:rsidR="00936E9F">
        <w:rPr>
          <w:rFonts w:ascii="Arial" w:hAnsi="Arial" w:cs="Arial"/>
          <w:sz w:val="24"/>
          <w:szCs w:val="24"/>
        </w:rPr>
        <w:t>.</w:t>
      </w:r>
      <w:r w:rsidRPr="00363FB5">
        <w:rPr>
          <w:rFonts w:ascii="Arial" w:hAnsi="Arial" w:cs="Arial"/>
          <w:sz w:val="24"/>
          <w:szCs w:val="24"/>
        </w:rPr>
        <w:t>”</w:t>
      </w:r>
      <w:r w:rsidRPr="00363FB5">
        <w:rPr>
          <w:rStyle w:val="FootnoteReference"/>
          <w:rFonts w:ascii="Arial" w:hAnsi="Arial" w:cs="Arial"/>
          <w:sz w:val="24"/>
          <w:szCs w:val="24"/>
        </w:rPr>
        <w:footnoteReference w:id="10"/>
      </w:r>
      <w:r w:rsidRPr="00363FB5">
        <w:rPr>
          <w:rFonts w:ascii="Arial" w:hAnsi="Arial" w:cs="Arial"/>
          <w:sz w:val="24"/>
          <w:szCs w:val="24"/>
        </w:rPr>
        <w:t xml:space="preserve"> </w:t>
      </w:r>
    </w:p>
    <w:p w14:paraId="22857D82" w14:textId="77777777" w:rsidR="00247EC4" w:rsidRPr="00363FB5" w:rsidRDefault="00247EC4" w:rsidP="00363FB5">
      <w:pPr>
        <w:spacing w:line="480" w:lineRule="auto"/>
        <w:jc w:val="both"/>
        <w:rPr>
          <w:rFonts w:ascii="Arial" w:hAnsi="Arial" w:cs="Arial"/>
          <w:b/>
          <w:sz w:val="24"/>
          <w:szCs w:val="24"/>
          <w:u w:val="single"/>
        </w:rPr>
      </w:pPr>
      <w:r w:rsidRPr="00363FB5">
        <w:rPr>
          <w:rFonts w:ascii="Arial" w:hAnsi="Arial" w:cs="Arial"/>
          <w:b/>
          <w:sz w:val="24"/>
          <w:szCs w:val="24"/>
          <w:u w:val="single"/>
        </w:rPr>
        <w:t xml:space="preserve">Issue for </w:t>
      </w:r>
      <w:proofErr w:type="spellStart"/>
      <w:r w:rsidRPr="00363FB5">
        <w:rPr>
          <w:rFonts w:ascii="Arial" w:hAnsi="Arial" w:cs="Arial"/>
          <w:b/>
          <w:sz w:val="24"/>
          <w:szCs w:val="24"/>
          <w:u w:val="single"/>
        </w:rPr>
        <w:t>Kawaskimhon</w:t>
      </w:r>
      <w:proofErr w:type="spellEnd"/>
      <w:r w:rsidRPr="00363FB5">
        <w:rPr>
          <w:rFonts w:ascii="Arial" w:hAnsi="Arial" w:cs="Arial"/>
          <w:b/>
          <w:sz w:val="24"/>
          <w:szCs w:val="24"/>
          <w:u w:val="single"/>
        </w:rPr>
        <w:t xml:space="preserve"> Moot</w:t>
      </w:r>
    </w:p>
    <w:p w14:paraId="762CADBA" w14:textId="77777777" w:rsidR="00EA1AB1" w:rsidRDefault="00EA1AB1" w:rsidP="00363FB5">
      <w:pPr>
        <w:spacing w:line="480" w:lineRule="auto"/>
        <w:jc w:val="both"/>
        <w:rPr>
          <w:rFonts w:ascii="Arial" w:hAnsi="Arial" w:cs="Arial"/>
          <w:sz w:val="24"/>
          <w:szCs w:val="24"/>
        </w:rPr>
      </w:pPr>
      <w:r>
        <w:rPr>
          <w:rFonts w:ascii="Arial" w:hAnsi="Arial" w:cs="Arial"/>
          <w:sz w:val="24"/>
          <w:szCs w:val="24"/>
        </w:rPr>
        <w:t>Prosecutors play a crucial role in the criminal justice system.</w:t>
      </w:r>
      <w:r w:rsidR="00936E9F">
        <w:rPr>
          <w:rFonts w:ascii="Arial" w:hAnsi="Arial" w:cs="Arial"/>
          <w:sz w:val="24"/>
          <w:szCs w:val="24"/>
        </w:rPr>
        <w:t xml:space="preserve"> </w:t>
      </w:r>
      <w:r>
        <w:rPr>
          <w:rFonts w:ascii="Arial" w:hAnsi="Arial" w:cs="Arial"/>
          <w:sz w:val="24"/>
          <w:szCs w:val="24"/>
        </w:rPr>
        <w:t xml:space="preserve">In order to implement </w:t>
      </w:r>
      <w:r w:rsidRPr="00936E9F">
        <w:rPr>
          <w:rFonts w:ascii="Arial" w:hAnsi="Arial" w:cs="Arial"/>
          <w:i/>
          <w:sz w:val="24"/>
          <w:szCs w:val="24"/>
        </w:rPr>
        <w:t>Gladue</w:t>
      </w:r>
      <w:r>
        <w:rPr>
          <w:rFonts w:ascii="Arial" w:hAnsi="Arial" w:cs="Arial"/>
          <w:sz w:val="24"/>
          <w:szCs w:val="24"/>
        </w:rPr>
        <w:t xml:space="preserve"> (and </w:t>
      </w:r>
      <w:r w:rsidR="00936E9F">
        <w:rPr>
          <w:rFonts w:ascii="Arial" w:hAnsi="Arial" w:cs="Arial"/>
          <w:sz w:val="24"/>
          <w:szCs w:val="24"/>
        </w:rPr>
        <w:t xml:space="preserve">for the purposes of this moot) </w:t>
      </w:r>
      <w:r>
        <w:rPr>
          <w:rFonts w:ascii="Arial" w:hAnsi="Arial" w:cs="Arial"/>
          <w:sz w:val="24"/>
          <w:szCs w:val="24"/>
        </w:rPr>
        <w:t xml:space="preserve">Manitoba has decided to create a policy to guide Crown prosecutors in the implementation of </w:t>
      </w:r>
      <w:r w:rsidRPr="00936E9F">
        <w:rPr>
          <w:rFonts w:ascii="Arial" w:hAnsi="Arial" w:cs="Arial"/>
          <w:i/>
          <w:sz w:val="24"/>
          <w:szCs w:val="24"/>
        </w:rPr>
        <w:t>Gladue</w:t>
      </w:r>
      <w:r w:rsidR="00936E9F">
        <w:rPr>
          <w:rFonts w:ascii="Arial" w:hAnsi="Arial" w:cs="Arial"/>
          <w:sz w:val="24"/>
          <w:szCs w:val="24"/>
        </w:rPr>
        <w:t>.</w:t>
      </w:r>
      <w:r>
        <w:rPr>
          <w:rFonts w:ascii="Arial" w:hAnsi="Arial" w:cs="Arial"/>
          <w:sz w:val="24"/>
          <w:szCs w:val="24"/>
        </w:rPr>
        <w:t xml:space="preserve"> Manitoba would like a policy that guides not only sentencing but to guide Crown prosecutors in all aspects of its engagement with </w:t>
      </w:r>
      <w:r w:rsidR="00936E9F">
        <w:rPr>
          <w:rFonts w:ascii="Arial" w:hAnsi="Arial" w:cs="Arial"/>
          <w:sz w:val="24"/>
          <w:szCs w:val="24"/>
        </w:rPr>
        <w:t xml:space="preserve">accused </w:t>
      </w:r>
      <w:r>
        <w:rPr>
          <w:rFonts w:ascii="Arial" w:hAnsi="Arial" w:cs="Arial"/>
          <w:sz w:val="24"/>
          <w:szCs w:val="24"/>
        </w:rPr>
        <w:t xml:space="preserve">Indigenous </w:t>
      </w:r>
      <w:r w:rsidR="00936E9F">
        <w:rPr>
          <w:rFonts w:ascii="Arial" w:hAnsi="Arial" w:cs="Arial"/>
          <w:sz w:val="24"/>
          <w:szCs w:val="24"/>
        </w:rPr>
        <w:t>people</w:t>
      </w:r>
      <w:r>
        <w:rPr>
          <w:rFonts w:ascii="Arial" w:hAnsi="Arial" w:cs="Arial"/>
          <w:sz w:val="24"/>
          <w:szCs w:val="24"/>
        </w:rPr>
        <w:t xml:space="preserve"> from bail forward.</w:t>
      </w:r>
      <w:r w:rsidR="00936E9F">
        <w:rPr>
          <w:rFonts w:ascii="Arial" w:hAnsi="Arial" w:cs="Arial"/>
          <w:sz w:val="24"/>
          <w:szCs w:val="24"/>
        </w:rPr>
        <w:t xml:space="preserve"> </w:t>
      </w:r>
      <w:r>
        <w:rPr>
          <w:rFonts w:ascii="Arial" w:hAnsi="Arial" w:cs="Arial"/>
          <w:sz w:val="24"/>
          <w:szCs w:val="24"/>
        </w:rPr>
        <w:t>Manitoba wishes to engage with stakeholder</w:t>
      </w:r>
      <w:r w:rsidR="00A64D92">
        <w:rPr>
          <w:rFonts w:ascii="Arial" w:hAnsi="Arial" w:cs="Arial"/>
          <w:sz w:val="24"/>
          <w:szCs w:val="24"/>
        </w:rPr>
        <w:t>s</w:t>
      </w:r>
      <w:r>
        <w:rPr>
          <w:rFonts w:ascii="Arial" w:hAnsi="Arial" w:cs="Arial"/>
          <w:sz w:val="24"/>
          <w:szCs w:val="24"/>
        </w:rPr>
        <w:t xml:space="preserve"> to de</w:t>
      </w:r>
      <w:r w:rsidR="00D675F0">
        <w:rPr>
          <w:rFonts w:ascii="Arial" w:hAnsi="Arial" w:cs="Arial"/>
          <w:sz w:val="24"/>
          <w:szCs w:val="24"/>
        </w:rPr>
        <w:t xml:space="preserve">velop a policy to implement </w:t>
      </w:r>
      <w:r w:rsidR="00D675F0" w:rsidRPr="00936E9F">
        <w:rPr>
          <w:rFonts w:ascii="Arial" w:hAnsi="Arial" w:cs="Arial"/>
          <w:i/>
          <w:sz w:val="24"/>
          <w:szCs w:val="24"/>
        </w:rPr>
        <w:t>Gla</w:t>
      </w:r>
      <w:r w:rsidRPr="00936E9F">
        <w:rPr>
          <w:rFonts w:ascii="Arial" w:hAnsi="Arial" w:cs="Arial"/>
          <w:i/>
          <w:sz w:val="24"/>
          <w:szCs w:val="24"/>
        </w:rPr>
        <w:t>d</w:t>
      </w:r>
      <w:r w:rsidR="00D675F0" w:rsidRPr="00936E9F">
        <w:rPr>
          <w:rFonts w:ascii="Arial" w:hAnsi="Arial" w:cs="Arial"/>
          <w:i/>
          <w:sz w:val="24"/>
          <w:szCs w:val="24"/>
        </w:rPr>
        <w:t>u</w:t>
      </w:r>
      <w:r w:rsidRPr="00936E9F">
        <w:rPr>
          <w:rFonts w:ascii="Arial" w:hAnsi="Arial" w:cs="Arial"/>
          <w:i/>
          <w:sz w:val="24"/>
          <w:szCs w:val="24"/>
        </w:rPr>
        <w:t>e</w:t>
      </w:r>
      <w:r>
        <w:rPr>
          <w:rFonts w:ascii="Arial" w:hAnsi="Arial" w:cs="Arial"/>
          <w:sz w:val="24"/>
          <w:szCs w:val="24"/>
        </w:rPr>
        <w:t xml:space="preserve"> in spirt and in intent.  </w:t>
      </w:r>
    </w:p>
    <w:p w14:paraId="2B11C00B" w14:textId="77777777" w:rsidR="00EA1AB1" w:rsidRDefault="00EA1AB1" w:rsidP="00363FB5">
      <w:pPr>
        <w:spacing w:line="480" w:lineRule="auto"/>
        <w:jc w:val="both"/>
        <w:rPr>
          <w:rFonts w:ascii="Arial" w:hAnsi="Arial" w:cs="Arial"/>
          <w:sz w:val="24"/>
          <w:szCs w:val="24"/>
        </w:rPr>
      </w:pPr>
      <w:r>
        <w:rPr>
          <w:rFonts w:ascii="Arial" w:hAnsi="Arial" w:cs="Arial"/>
          <w:sz w:val="24"/>
          <w:szCs w:val="24"/>
        </w:rPr>
        <w:t xml:space="preserve">At the moot, you are asked to develop a Crown policy (or the foundational principles for such policy) that will guide Crown prosecutors all </w:t>
      </w:r>
      <w:r>
        <w:rPr>
          <w:rFonts w:ascii="Arial" w:hAnsi="Arial" w:cs="Arial"/>
          <w:sz w:val="24"/>
          <w:szCs w:val="24"/>
        </w:rPr>
        <w:lastRenderedPageBreak/>
        <w:t>with a view to address the issue of over-representation of Indigenous people in prison.</w:t>
      </w:r>
    </w:p>
    <w:p w14:paraId="6301290E" w14:textId="77777777" w:rsidR="00EA1AB1" w:rsidRDefault="00EA1AB1" w:rsidP="00363FB5">
      <w:pPr>
        <w:spacing w:line="480" w:lineRule="auto"/>
        <w:jc w:val="both"/>
        <w:rPr>
          <w:rFonts w:ascii="Arial" w:hAnsi="Arial" w:cs="Arial"/>
          <w:sz w:val="24"/>
          <w:szCs w:val="24"/>
        </w:rPr>
      </w:pPr>
      <w:r>
        <w:rPr>
          <w:rFonts w:ascii="Arial" w:hAnsi="Arial" w:cs="Arial"/>
          <w:sz w:val="24"/>
          <w:szCs w:val="24"/>
        </w:rPr>
        <w:t xml:space="preserve">You </w:t>
      </w:r>
      <w:r w:rsidR="00936E9F">
        <w:rPr>
          <w:rFonts w:ascii="Arial" w:hAnsi="Arial" w:cs="Arial"/>
          <w:sz w:val="24"/>
          <w:szCs w:val="24"/>
        </w:rPr>
        <w:t>are</w:t>
      </w:r>
      <w:r>
        <w:rPr>
          <w:rFonts w:ascii="Arial" w:hAnsi="Arial" w:cs="Arial"/>
          <w:sz w:val="24"/>
          <w:szCs w:val="24"/>
        </w:rPr>
        <w:t xml:space="preserve"> asked to develop the principles from the perspective of the interests of your assigned client.</w:t>
      </w:r>
      <w:r w:rsidR="00936E9F">
        <w:rPr>
          <w:rFonts w:ascii="Arial" w:hAnsi="Arial" w:cs="Arial"/>
          <w:sz w:val="24"/>
          <w:szCs w:val="24"/>
        </w:rPr>
        <w:t xml:space="preserve"> </w:t>
      </w:r>
      <w:r>
        <w:rPr>
          <w:rFonts w:ascii="Arial" w:hAnsi="Arial" w:cs="Arial"/>
          <w:sz w:val="24"/>
          <w:szCs w:val="24"/>
        </w:rPr>
        <w:t xml:space="preserve">The list of clients shall be distributed separately.  </w:t>
      </w:r>
    </w:p>
    <w:p w14:paraId="3E90EDBB" w14:textId="77777777" w:rsidR="00EA1AB1" w:rsidRDefault="00EA1AB1" w:rsidP="00363FB5">
      <w:pPr>
        <w:spacing w:line="480" w:lineRule="auto"/>
        <w:jc w:val="both"/>
        <w:rPr>
          <w:rFonts w:ascii="Arial" w:hAnsi="Arial" w:cs="Arial"/>
          <w:sz w:val="24"/>
          <w:szCs w:val="24"/>
        </w:rPr>
      </w:pPr>
    </w:p>
    <w:p w14:paraId="58FCEB22" w14:textId="77777777" w:rsidR="00FA70D0" w:rsidRPr="00363FB5" w:rsidRDefault="00FA70D0" w:rsidP="00363FB5">
      <w:pPr>
        <w:spacing w:line="480" w:lineRule="auto"/>
        <w:jc w:val="both"/>
        <w:rPr>
          <w:rFonts w:ascii="Arial" w:hAnsi="Arial" w:cs="Arial"/>
          <w:sz w:val="24"/>
          <w:szCs w:val="24"/>
        </w:rPr>
      </w:pPr>
    </w:p>
    <w:p w14:paraId="79D56D23" w14:textId="77777777" w:rsidR="00FA70D0" w:rsidRPr="00363FB5" w:rsidRDefault="00FA70D0" w:rsidP="00363FB5">
      <w:pPr>
        <w:spacing w:line="480" w:lineRule="auto"/>
        <w:jc w:val="both"/>
        <w:rPr>
          <w:rFonts w:ascii="Arial" w:hAnsi="Arial" w:cs="Arial"/>
          <w:sz w:val="24"/>
          <w:szCs w:val="24"/>
        </w:rPr>
      </w:pPr>
      <w:bookmarkStart w:id="0" w:name="_GoBack"/>
      <w:bookmarkEnd w:id="0"/>
    </w:p>
    <w:sectPr w:rsidR="00FA70D0" w:rsidRPr="00363FB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779C" w14:textId="77777777" w:rsidR="00C25FF2" w:rsidRDefault="00C25FF2" w:rsidP="002D625A">
      <w:pPr>
        <w:spacing w:after="0" w:line="240" w:lineRule="auto"/>
      </w:pPr>
      <w:r>
        <w:separator/>
      </w:r>
    </w:p>
  </w:endnote>
  <w:endnote w:type="continuationSeparator" w:id="0">
    <w:p w14:paraId="02875E19" w14:textId="77777777" w:rsidR="00C25FF2" w:rsidRDefault="00C25FF2" w:rsidP="002D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053862"/>
      <w:docPartObj>
        <w:docPartGallery w:val="Page Numbers (Bottom of Page)"/>
        <w:docPartUnique/>
      </w:docPartObj>
    </w:sdtPr>
    <w:sdtEndPr>
      <w:rPr>
        <w:noProof/>
      </w:rPr>
    </w:sdtEndPr>
    <w:sdtContent>
      <w:p w14:paraId="16F0F59E" w14:textId="5F782786" w:rsidR="00B42B29" w:rsidRDefault="00B42B29">
        <w:pPr>
          <w:pStyle w:val="Footer"/>
          <w:jc w:val="center"/>
        </w:pPr>
        <w:r>
          <w:fldChar w:fldCharType="begin"/>
        </w:r>
        <w:r>
          <w:instrText xml:space="preserve"> PAGE   \* MERGEFORMAT </w:instrText>
        </w:r>
        <w:r>
          <w:fldChar w:fldCharType="separate"/>
        </w:r>
        <w:r w:rsidR="00E02913">
          <w:rPr>
            <w:noProof/>
          </w:rPr>
          <w:t>5</w:t>
        </w:r>
        <w:r>
          <w:rPr>
            <w:noProof/>
          </w:rPr>
          <w:fldChar w:fldCharType="end"/>
        </w:r>
      </w:p>
    </w:sdtContent>
  </w:sdt>
  <w:p w14:paraId="350B6A1E" w14:textId="77777777" w:rsidR="00B42B29" w:rsidRDefault="00B4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5A65" w14:textId="77777777" w:rsidR="00C25FF2" w:rsidRDefault="00C25FF2" w:rsidP="002D625A">
      <w:pPr>
        <w:spacing w:after="0" w:line="240" w:lineRule="auto"/>
      </w:pPr>
      <w:r>
        <w:separator/>
      </w:r>
    </w:p>
  </w:footnote>
  <w:footnote w:type="continuationSeparator" w:id="0">
    <w:p w14:paraId="362CD9F7" w14:textId="77777777" w:rsidR="00C25FF2" w:rsidRDefault="00C25FF2" w:rsidP="002D625A">
      <w:pPr>
        <w:spacing w:after="0" w:line="240" w:lineRule="auto"/>
      </w:pPr>
      <w:r>
        <w:continuationSeparator/>
      </w:r>
    </w:p>
  </w:footnote>
  <w:footnote w:id="1">
    <w:p w14:paraId="5A479B47" w14:textId="77777777" w:rsidR="00B42B29" w:rsidRPr="001E5AC7" w:rsidRDefault="00B42B29">
      <w:pPr>
        <w:pStyle w:val="FootnoteText"/>
      </w:pPr>
      <w:r>
        <w:rPr>
          <w:rStyle w:val="FootnoteReference"/>
        </w:rPr>
        <w:footnoteRef/>
      </w:r>
      <w:r>
        <w:t xml:space="preserve"> </w:t>
      </w:r>
      <w:r>
        <w:rPr>
          <w:i/>
          <w:iCs/>
        </w:rPr>
        <w:t xml:space="preserve">R v Gladue, </w:t>
      </w:r>
      <w:r>
        <w:t>[1999] 1 SCR 688</w:t>
      </w:r>
      <w:r w:rsidR="00D5591C">
        <w:t xml:space="preserve"> [</w:t>
      </w:r>
      <w:r w:rsidR="00D5591C">
        <w:rPr>
          <w:i/>
          <w:iCs/>
        </w:rPr>
        <w:t>Gladue</w:t>
      </w:r>
      <w:r w:rsidR="00D5591C">
        <w:t>].</w:t>
      </w:r>
    </w:p>
  </w:footnote>
  <w:footnote w:id="2">
    <w:p w14:paraId="081CE12B" w14:textId="77777777" w:rsidR="00B42B29" w:rsidRDefault="00B42B29" w:rsidP="001E5AC7">
      <w:pPr>
        <w:pStyle w:val="FootnoteText"/>
      </w:pPr>
      <w:r>
        <w:rPr>
          <w:rStyle w:val="FootnoteReference"/>
        </w:rPr>
        <w:footnoteRef/>
      </w:r>
      <w:r>
        <w:t xml:space="preserve"> Jonathan Rudin, “Aboriginal Over-Representation and R v. Gladue: Where We Were, Where We Are and Where We May Going (2008) 40 SCLR: Osgoode’s Annual Constitutional Cases Conference 687 at 687</w:t>
      </w:r>
      <w:r w:rsidR="00936E9F">
        <w:t>.</w:t>
      </w:r>
    </w:p>
  </w:footnote>
  <w:footnote w:id="3">
    <w:p w14:paraId="56F6D116" w14:textId="77777777" w:rsidR="00B42B29" w:rsidRDefault="00B42B29">
      <w:pPr>
        <w:pStyle w:val="FootnoteText"/>
      </w:pPr>
      <w:r>
        <w:rPr>
          <w:rStyle w:val="FootnoteReference"/>
        </w:rPr>
        <w:footnoteRef/>
      </w:r>
      <w:r>
        <w:t xml:space="preserve"> Angus C Hamilton &amp; C.M. Sinclair, Report of the Aboriginal justice Inquiry of Manitoba, Vol 1, The Justice System and Aboriginal People (</w:t>
      </w:r>
      <w:r w:rsidR="00936E9F">
        <w:t>Winnipeg, Queen’s Printer, 1991</w:t>
      </w:r>
      <w:r>
        <w:t>)</w:t>
      </w:r>
      <w:r w:rsidR="00936E9F">
        <w:t>.</w:t>
      </w:r>
    </w:p>
  </w:footnote>
  <w:footnote w:id="4">
    <w:p w14:paraId="55C0281C" w14:textId="77777777" w:rsidR="00B42B29" w:rsidRDefault="00B42B29" w:rsidP="003B0623">
      <w:pPr>
        <w:pStyle w:val="FootnoteText"/>
      </w:pPr>
      <w:r>
        <w:rPr>
          <w:rStyle w:val="FootnoteReference"/>
        </w:rPr>
        <w:footnoteRef/>
      </w:r>
      <w:r>
        <w:t xml:space="preserve"> Truth and Reconciliation Commission, Canada’s Residenti</w:t>
      </w:r>
      <w:r w:rsidR="00936E9F">
        <w:t>al Schools: The Legacy, v. 5, page</w:t>
      </w:r>
      <w:r>
        <w:t xml:space="preserve"> 235</w:t>
      </w:r>
      <w:r w:rsidR="00936E9F">
        <w:t>.</w:t>
      </w:r>
    </w:p>
    <w:p w14:paraId="47CFA252" w14:textId="77777777" w:rsidR="00B42B29" w:rsidRPr="00765701" w:rsidRDefault="00B42B29">
      <w:pPr>
        <w:pStyle w:val="FootnoteText"/>
        <w:rPr>
          <w:i/>
        </w:rPr>
      </w:pPr>
    </w:p>
  </w:footnote>
  <w:footnote w:id="5">
    <w:p w14:paraId="03931011" w14:textId="77777777" w:rsidR="005827DE" w:rsidRPr="005827DE" w:rsidRDefault="005827DE">
      <w:pPr>
        <w:pStyle w:val="FootnoteText"/>
        <w:rPr>
          <w:i/>
        </w:rPr>
      </w:pPr>
      <w:r>
        <w:rPr>
          <w:rStyle w:val="FootnoteReference"/>
        </w:rPr>
        <w:footnoteRef/>
      </w:r>
      <w:r>
        <w:t xml:space="preserve"> </w:t>
      </w:r>
      <w:r w:rsidR="00936E9F">
        <w:rPr>
          <w:i/>
        </w:rPr>
        <w:t xml:space="preserve">Ibid </w:t>
      </w:r>
      <w:r w:rsidR="00936E9F">
        <w:t>at</w:t>
      </w:r>
      <w:r>
        <w:rPr>
          <w:i/>
        </w:rPr>
        <w:t xml:space="preserve"> </w:t>
      </w:r>
      <w:r w:rsidR="00936E9F">
        <w:t>page</w:t>
      </w:r>
      <w:r w:rsidRPr="005827DE">
        <w:t xml:space="preserve"> 237</w:t>
      </w:r>
      <w:r w:rsidR="00936E9F">
        <w:t>.</w:t>
      </w:r>
    </w:p>
  </w:footnote>
  <w:footnote w:id="6">
    <w:p w14:paraId="3BDBFB59" w14:textId="77777777" w:rsidR="005827DE" w:rsidRPr="005827DE" w:rsidRDefault="005827DE">
      <w:pPr>
        <w:pStyle w:val="FootnoteText"/>
        <w:rPr>
          <w:i/>
        </w:rPr>
      </w:pPr>
      <w:r>
        <w:rPr>
          <w:rStyle w:val="FootnoteReference"/>
        </w:rPr>
        <w:footnoteRef/>
      </w:r>
      <w:r>
        <w:t xml:space="preserve"> </w:t>
      </w:r>
      <w:r>
        <w:rPr>
          <w:i/>
        </w:rPr>
        <w:t xml:space="preserve">Ibid. </w:t>
      </w:r>
    </w:p>
  </w:footnote>
  <w:footnote w:id="7">
    <w:p w14:paraId="01464E64" w14:textId="77777777" w:rsidR="00B42B29" w:rsidRPr="000359F7" w:rsidRDefault="00B42B29">
      <w:pPr>
        <w:pStyle w:val="FootnoteText"/>
        <w:rPr>
          <w:i/>
        </w:rPr>
      </w:pPr>
      <w:r>
        <w:rPr>
          <w:rStyle w:val="FootnoteReference"/>
        </w:rPr>
        <w:footnoteRef/>
      </w:r>
      <w:r>
        <w:t xml:space="preserve"> </w:t>
      </w:r>
      <w:r w:rsidR="00936E9F">
        <w:rPr>
          <w:i/>
        </w:rPr>
        <w:t xml:space="preserve">Ibid </w:t>
      </w:r>
      <w:r w:rsidR="00936E9F" w:rsidRPr="00936E9F">
        <w:t>at</w:t>
      </w:r>
      <w:r w:rsidRPr="00936E9F">
        <w:t xml:space="preserve"> </w:t>
      </w:r>
      <w:r w:rsidR="00936E9F">
        <w:t xml:space="preserve">page </w:t>
      </w:r>
      <w:r w:rsidRPr="00936E9F">
        <w:t>236</w:t>
      </w:r>
      <w:r w:rsidR="00936E9F">
        <w:t>.</w:t>
      </w:r>
    </w:p>
  </w:footnote>
  <w:footnote w:id="8">
    <w:p w14:paraId="013A09A1" w14:textId="77777777" w:rsidR="00B42B29" w:rsidRPr="00901FD8" w:rsidRDefault="00B42B29">
      <w:pPr>
        <w:pStyle w:val="FootnoteText"/>
      </w:pPr>
      <w:r>
        <w:rPr>
          <w:rStyle w:val="FootnoteReference"/>
        </w:rPr>
        <w:footnoteRef/>
      </w:r>
      <w:r>
        <w:t xml:space="preserve"> Jonathan Rudin, </w:t>
      </w:r>
      <w:r>
        <w:rPr>
          <w:i/>
          <w:iCs/>
        </w:rPr>
        <w:t xml:space="preserve">Indigenous People and the Criminal Justice System </w:t>
      </w:r>
      <w:r>
        <w:t xml:space="preserve">(Toronto: Emond Montgomery Publications Limited 2019) at </w:t>
      </w:r>
      <w:r w:rsidR="00AB61C8">
        <w:t>page 109 [Rudin].</w:t>
      </w:r>
    </w:p>
  </w:footnote>
  <w:footnote w:id="9">
    <w:p w14:paraId="2A901AEA" w14:textId="77777777" w:rsidR="00B42B29" w:rsidRPr="00D55634" w:rsidRDefault="00B42B29">
      <w:pPr>
        <w:pStyle w:val="FootnoteText"/>
      </w:pPr>
      <w:r>
        <w:rPr>
          <w:rStyle w:val="FootnoteReference"/>
        </w:rPr>
        <w:footnoteRef/>
      </w:r>
      <w:r>
        <w:t xml:space="preserve"> </w:t>
      </w:r>
      <w:r w:rsidR="00AB61C8">
        <w:rPr>
          <w:i/>
          <w:iCs/>
        </w:rPr>
        <w:t>Ibid</w:t>
      </w:r>
      <w:r w:rsidR="00936E9F">
        <w:t>.</w:t>
      </w:r>
    </w:p>
  </w:footnote>
  <w:footnote w:id="10">
    <w:p w14:paraId="75655589" w14:textId="77777777" w:rsidR="00B42B29" w:rsidRPr="00520002" w:rsidRDefault="00B42B29">
      <w:pPr>
        <w:pStyle w:val="FootnoteText"/>
      </w:pPr>
      <w:r>
        <w:rPr>
          <w:rStyle w:val="FootnoteReference"/>
        </w:rPr>
        <w:footnoteRef/>
      </w:r>
      <w:r>
        <w:t xml:space="preserve"> </w:t>
      </w:r>
      <w:r>
        <w:rPr>
          <w:i/>
          <w:iCs/>
        </w:rPr>
        <w:t>Ibid</w:t>
      </w:r>
      <w:r w:rsidR="00936E9F">
        <w:rPr>
          <w:i/>
          <w:iCs/>
        </w:rPr>
        <w:t xml:space="preserve"> </w:t>
      </w:r>
      <w:r w:rsidR="00936E9F">
        <w:rPr>
          <w:iCs/>
        </w:rPr>
        <w:t>at p</w:t>
      </w:r>
      <w:r>
        <w:t>age 110</w:t>
      </w:r>
      <w:r w:rsidR="00936E9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4FA"/>
    <w:multiLevelType w:val="hybridMultilevel"/>
    <w:tmpl w:val="2904F9FE"/>
    <w:lvl w:ilvl="0" w:tplc="BBC28C9E">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781BAE"/>
    <w:multiLevelType w:val="hybridMultilevel"/>
    <w:tmpl w:val="38FC730C"/>
    <w:lvl w:ilvl="0" w:tplc="ABAC99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39405C"/>
    <w:multiLevelType w:val="multilevel"/>
    <w:tmpl w:val="77C8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BF"/>
    <w:rsid w:val="000016DE"/>
    <w:rsid w:val="000359F7"/>
    <w:rsid w:val="000A1B8B"/>
    <w:rsid w:val="000A7289"/>
    <w:rsid w:val="00140ED4"/>
    <w:rsid w:val="0019736B"/>
    <w:rsid w:val="001A2392"/>
    <w:rsid w:val="001C39BF"/>
    <w:rsid w:val="001E5AC7"/>
    <w:rsid w:val="00247EC4"/>
    <w:rsid w:val="002A2DFA"/>
    <w:rsid w:val="002D625A"/>
    <w:rsid w:val="002D7FD4"/>
    <w:rsid w:val="0033106F"/>
    <w:rsid w:val="00334727"/>
    <w:rsid w:val="0034121C"/>
    <w:rsid w:val="003418FC"/>
    <w:rsid w:val="00363FB5"/>
    <w:rsid w:val="003661E6"/>
    <w:rsid w:val="00382C4C"/>
    <w:rsid w:val="003B0623"/>
    <w:rsid w:val="00445ED8"/>
    <w:rsid w:val="004636CE"/>
    <w:rsid w:val="00474CD0"/>
    <w:rsid w:val="004F46EA"/>
    <w:rsid w:val="00507DCC"/>
    <w:rsid w:val="00520002"/>
    <w:rsid w:val="00553B10"/>
    <w:rsid w:val="00572DC6"/>
    <w:rsid w:val="005827DE"/>
    <w:rsid w:val="005A0BA3"/>
    <w:rsid w:val="00604516"/>
    <w:rsid w:val="00611F2F"/>
    <w:rsid w:val="0062482E"/>
    <w:rsid w:val="00634806"/>
    <w:rsid w:val="0065669D"/>
    <w:rsid w:val="00676245"/>
    <w:rsid w:val="00692527"/>
    <w:rsid w:val="006A36A2"/>
    <w:rsid w:val="006B20B9"/>
    <w:rsid w:val="007367C5"/>
    <w:rsid w:val="00765701"/>
    <w:rsid w:val="008A46AF"/>
    <w:rsid w:val="008D3F29"/>
    <w:rsid w:val="00901FD8"/>
    <w:rsid w:val="00936E9F"/>
    <w:rsid w:val="00974282"/>
    <w:rsid w:val="009867E5"/>
    <w:rsid w:val="009B3E67"/>
    <w:rsid w:val="009D0146"/>
    <w:rsid w:val="00A62ABA"/>
    <w:rsid w:val="00A64D92"/>
    <w:rsid w:val="00AB523B"/>
    <w:rsid w:val="00AB61C8"/>
    <w:rsid w:val="00B42B29"/>
    <w:rsid w:val="00B47B40"/>
    <w:rsid w:val="00BC476E"/>
    <w:rsid w:val="00C25FF2"/>
    <w:rsid w:val="00CC7B47"/>
    <w:rsid w:val="00D034FD"/>
    <w:rsid w:val="00D41C1B"/>
    <w:rsid w:val="00D55634"/>
    <w:rsid w:val="00D5591C"/>
    <w:rsid w:val="00D675F0"/>
    <w:rsid w:val="00D70707"/>
    <w:rsid w:val="00DB2490"/>
    <w:rsid w:val="00DC57FD"/>
    <w:rsid w:val="00DD6DEC"/>
    <w:rsid w:val="00DD6F57"/>
    <w:rsid w:val="00E02913"/>
    <w:rsid w:val="00E2594A"/>
    <w:rsid w:val="00E7097B"/>
    <w:rsid w:val="00E95A70"/>
    <w:rsid w:val="00EA1AB1"/>
    <w:rsid w:val="00EB39B7"/>
    <w:rsid w:val="00F00BD9"/>
    <w:rsid w:val="00F26730"/>
    <w:rsid w:val="00FA3D5C"/>
    <w:rsid w:val="00FA70D0"/>
    <w:rsid w:val="00FF0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7B92"/>
  <w15:chartTrackingRefBased/>
  <w15:docId w15:val="{3ED33BEC-343E-4534-B8FA-769BB504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F57"/>
    <w:pPr>
      <w:ind w:left="720"/>
      <w:contextualSpacing/>
    </w:pPr>
  </w:style>
  <w:style w:type="paragraph" w:styleId="FootnoteText">
    <w:name w:val="footnote text"/>
    <w:basedOn w:val="Normal"/>
    <w:link w:val="FootnoteTextChar"/>
    <w:uiPriority w:val="99"/>
    <w:semiHidden/>
    <w:unhideWhenUsed/>
    <w:rsid w:val="002D6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25A"/>
    <w:rPr>
      <w:sz w:val="20"/>
      <w:szCs w:val="20"/>
    </w:rPr>
  </w:style>
  <w:style w:type="character" w:styleId="FootnoteReference">
    <w:name w:val="footnote reference"/>
    <w:basedOn w:val="DefaultParagraphFont"/>
    <w:uiPriority w:val="99"/>
    <w:semiHidden/>
    <w:unhideWhenUsed/>
    <w:rsid w:val="002D625A"/>
    <w:rPr>
      <w:vertAlign w:val="superscript"/>
    </w:rPr>
  </w:style>
  <w:style w:type="paragraph" w:styleId="Header">
    <w:name w:val="header"/>
    <w:basedOn w:val="Normal"/>
    <w:link w:val="HeaderChar"/>
    <w:uiPriority w:val="99"/>
    <w:unhideWhenUsed/>
    <w:rsid w:val="00D5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34"/>
  </w:style>
  <w:style w:type="paragraph" w:styleId="Footer">
    <w:name w:val="footer"/>
    <w:basedOn w:val="Normal"/>
    <w:link w:val="FooterChar"/>
    <w:uiPriority w:val="99"/>
    <w:unhideWhenUsed/>
    <w:rsid w:val="00D5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634"/>
  </w:style>
  <w:style w:type="paragraph" w:styleId="NormalWeb">
    <w:name w:val="Normal (Web)"/>
    <w:basedOn w:val="Normal"/>
    <w:uiPriority w:val="99"/>
    <w:semiHidden/>
    <w:unhideWhenUsed/>
    <w:rsid w:val="006248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474CD0"/>
    <w:rPr>
      <w:color w:val="0000FF"/>
      <w:u w:val="single"/>
    </w:rPr>
  </w:style>
  <w:style w:type="paragraph" w:styleId="z-TopofForm">
    <w:name w:val="HTML Top of Form"/>
    <w:basedOn w:val="Normal"/>
    <w:next w:val="Normal"/>
    <w:link w:val="z-TopofFormChar"/>
    <w:hidden/>
    <w:uiPriority w:val="99"/>
    <w:semiHidden/>
    <w:unhideWhenUsed/>
    <w:rsid w:val="00474CD0"/>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474CD0"/>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474CD0"/>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474CD0"/>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6A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6A2"/>
    <w:rPr>
      <w:rFonts w:ascii="Segoe UI" w:hAnsi="Segoe UI" w:cs="Segoe UI"/>
      <w:sz w:val="18"/>
      <w:szCs w:val="18"/>
    </w:rPr>
  </w:style>
  <w:style w:type="character" w:styleId="CommentReference">
    <w:name w:val="annotation reference"/>
    <w:basedOn w:val="DefaultParagraphFont"/>
    <w:uiPriority w:val="99"/>
    <w:semiHidden/>
    <w:unhideWhenUsed/>
    <w:rsid w:val="00D034FD"/>
    <w:rPr>
      <w:sz w:val="16"/>
      <w:szCs w:val="16"/>
    </w:rPr>
  </w:style>
  <w:style w:type="paragraph" w:styleId="CommentText">
    <w:name w:val="annotation text"/>
    <w:basedOn w:val="Normal"/>
    <w:link w:val="CommentTextChar"/>
    <w:uiPriority w:val="99"/>
    <w:semiHidden/>
    <w:unhideWhenUsed/>
    <w:rsid w:val="00D034FD"/>
    <w:pPr>
      <w:spacing w:line="240" w:lineRule="auto"/>
    </w:pPr>
    <w:rPr>
      <w:sz w:val="20"/>
      <w:szCs w:val="20"/>
    </w:rPr>
  </w:style>
  <w:style w:type="character" w:customStyle="1" w:styleId="CommentTextChar">
    <w:name w:val="Comment Text Char"/>
    <w:basedOn w:val="DefaultParagraphFont"/>
    <w:link w:val="CommentText"/>
    <w:uiPriority w:val="99"/>
    <w:semiHidden/>
    <w:rsid w:val="00D034FD"/>
    <w:rPr>
      <w:sz w:val="20"/>
      <w:szCs w:val="20"/>
    </w:rPr>
  </w:style>
  <w:style w:type="paragraph" w:styleId="CommentSubject">
    <w:name w:val="annotation subject"/>
    <w:basedOn w:val="CommentText"/>
    <w:next w:val="CommentText"/>
    <w:link w:val="CommentSubjectChar"/>
    <w:uiPriority w:val="99"/>
    <w:semiHidden/>
    <w:unhideWhenUsed/>
    <w:rsid w:val="00D034FD"/>
    <w:rPr>
      <w:b/>
      <w:bCs/>
    </w:rPr>
  </w:style>
  <w:style w:type="character" w:customStyle="1" w:styleId="CommentSubjectChar">
    <w:name w:val="Comment Subject Char"/>
    <w:basedOn w:val="CommentTextChar"/>
    <w:link w:val="CommentSubject"/>
    <w:uiPriority w:val="99"/>
    <w:semiHidden/>
    <w:rsid w:val="00D03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7681">
      <w:bodyDiv w:val="1"/>
      <w:marLeft w:val="0"/>
      <w:marRight w:val="0"/>
      <w:marTop w:val="0"/>
      <w:marBottom w:val="0"/>
      <w:divBdr>
        <w:top w:val="none" w:sz="0" w:space="0" w:color="auto"/>
        <w:left w:val="none" w:sz="0" w:space="0" w:color="auto"/>
        <w:bottom w:val="none" w:sz="0" w:space="0" w:color="auto"/>
        <w:right w:val="none" w:sz="0" w:space="0" w:color="auto"/>
      </w:divBdr>
      <w:divsChild>
        <w:div w:id="1593245786">
          <w:marLeft w:val="0"/>
          <w:marRight w:val="0"/>
          <w:marTop w:val="0"/>
          <w:marBottom w:val="60"/>
          <w:divBdr>
            <w:top w:val="none" w:sz="0" w:space="0" w:color="auto"/>
            <w:left w:val="none" w:sz="0" w:space="0" w:color="auto"/>
            <w:bottom w:val="none" w:sz="0" w:space="0" w:color="auto"/>
            <w:right w:val="none" w:sz="0" w:space="0" w:color="auto"/>
          </w:divBdr>
          <w:divsChild>
            <w:div w:id="643318110">
              <w:marLeft w:val="0"/>
              <w:marRight w:val="0"/>
              <w:marTop w:val="0"/>
              <w:marBottom w:val="0"/>
              <w:divBdr>
                <w:top w:val="none" w:sz="0" w:space="0" w:color="auto"/>
                <w:left w:val="none" w:sz="0" w:space="0" w:color="auto"/>
                <w:bottom w:val="none" w:sz="0" w:space="0" w:color="auto"/>
                <w:right w:val="none" w:sz="0" w:space="0" w:color="auto"/>
              </w:divBdr>
              <w:divsChild>
                <w:div w:id="1053582415">
                  <w:marLeft w:val="0"/>
                  <w:marRight w:val="0"/>
                  <w:marTop w:val="0"/>
                  <w:marBottom w:val="0"/>
                  <w:divBdr>
                    <w:top w:val="none" w:sz="0" w:space="0" w:color="auto"/>
                    <w:left w:val="none" w:sz="0" w:space="0" w:color="auto"/>
                    <w:bottom w:val="none" w:sz="0" w:space="0" w:color="auto"/>
                    <w:right w:val="none" w:sz="0" w:space="0" w:color="auto"/>
                  </w:divBdr>
                </w:div>
                <w:div w:id="1767723044">
                  <w:marLeft w:val="0"/>
                  <w:marRight w:val="0"/>
                  <w:marTop w:val="0"/>
                  <w:marBottom w:val="0"/>
                  <w:divBdr>
                    <w:top w:val="none" w:sz="0" w:space="0" w:color="auto"/>
                    <w:left w:val="none" w:sz="0" w:space="0" w:color="auto"/>
                    <w:bottom w:val="none" w:sz="0" w:space="0" w:color="auto"/>
                    <w:right w:val="none" w:sz="0" w:space="0" w:color="auto"/>
                  </w:divBdr>
                  <w:divsChild>
                    <w:div w:id="423428369">
                      <w:marLeft w:val="0"/>
                      <w:marRight w:val="0"/>
                      <w:marTop w:val="0"/>
                      <w:marBottom w:val="0"/>
                      <w:divBdr>
                        <w:top w:val="none" w:sz="0" w:space="0" w:color="auto"/>
                        <w:left w:val="none" w:sz="0" w:space="0" w:color="auto"/>
                        <w:bottom w:val="none" w:sz="0" w:space="0" w:color="auto"/>
                        <w:right w:val="none" w:sz="0" w:space="0" w:color="auto"/>
                      </w:divBdr>
                      <w:divsChild>
                        <w:div w:id="1495416523">
                          <w:marLeft w:val="0"/>
                          <w:marRight w:val="0"/>
                          <w:marTop w:val="0"/>
                          <w:marBottom w:val="0"/>
                          <w:divBdr>
                            <w:top w:val="none" w:sz="0" w:space="0" w:color="auto"/>
                            <w:left w:val="none" w:sz="0" w:space="0" w:color="auto"/>
                            <w:bottom w:val="none" w:sz="0" w:space="0" w:color="auto"/>
                            <w:right w:val="none" w:sz="0" w:space="0" w:color="auto"/>
                          </w:divBdr>
                        </w:div>
                        <w:div w:id="2118132365">
                          <w:marLeft w:val="0"/>
                          <w:marRight w:val="0"/>
                          <w:marTop w:val="0"/>
                          <w:marBottom w:val="0"/>
                          <w:divBdr>
                            <w:top w:val="none" w:sz="0" w:space="0" w:color="auto"/>
                            <w:left w:val="none" w:sz="0" w:space="0" w:color="auto"/>
                            <w:bottom w:val="none" w:sz="0" w:space="0" w:color="auto"/>
                            <w:right w:val="none" w:sz="0" w:space="0" w:color="auto"/>
                          </w:divBdr>
                          <w:divsChild>
                            <w:div w:id="1474985689">
                              <w:marLeft w:val="0"/>
                              <w:marRight w:val="0"/>
                              <w:marTop w:val="0"/>
                              <w:marBottom w:val="0"/>
                              <w:divBdr>
                                <w:top w:val="none" w:sz="0" w:space="0" w:color="auto"/>
                                <w:left w:val="none" w:sz="0" w:space="0" w:color="auto"/>
                                <w:bottom w:val="none" w:sz="0" w:space="0" w:color="auto"/>
                                <w:right w:val="none" w:sz="0" w:space="0" w:color="auto"/>
                              </w:divBdr>
                              <w:divsChild>
                                <w:div w:id="901453211">
                                  <w:marLeft w:val="360"/>
                                  <w:marRight w:val="360"/>
                                  <w:marTop w:val="360"/>
                                  <w:marBottom w:val="360"/>
                                  <w:divBdr>
                                    <w:top w:val="none" w:sz="0" w:space="0" w:color="auto"/>
                                    <w:left w:val="none" w:sz="0" w:space="0" w:color="auto"/>
                                    <w:bottom w:val="none" w:sz="0" w:space="0" w:color="auto"/>
                                    <w:right w:val="none" w:sz="0" w:space="0" w:color="auto"/>
                                  </w:divBdr>
                                  <w:divsChild>
                                    <w:div w:id="6409646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6356946">
                      <w:marLeft w:val="0"/>
                      <w:marRight w:val="150"/>
                      <w:marTop w:val="30"/>
                      <w:marBottom w:val="0"/>
                      <w:divBdr>
                        <w:top w:val="none" w:sz="0" w:space="0" w:color="auto"/>
                        <w:left w:val="none" w:sz="0" w:space="0" w:color="auto"/>
                        <w:bottom w:val="none" w:sz="0" w:space="0" w:color="auto"/>
                        <w:right w:val="none" w:sz="0" w:space="0" w:color="auto"/>
                      </w:divBdr>
                    </w:div>
                    <w:div w:id="1629824277">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2912996">
      <w:bodyDiv w:val="1"/>
      <w:marLeft w:val="0"/>
      <w:marRight w:val="0"/>
      <w:marTop w:val="0"/>
      <w:marBottom w:val="0"/>
      <w:divBdr>
        <w:top w:val="none" w:sz="0" w:space="0" w:color="auto"/>
        <w:left w:val="none" w:sz="0" w:space="0" w:color="auto"/>
        <w:bottom w:val="none" w:sz="0" w:space="0" w:color="auto"/>
        <w:right w:val="none" w:sz="0" w:space="0" w:color="auto"/>
      </w:divBdr>
    </w:div>
    <w:div w:id="2043746034">
      <w:bodyDiv w:val="1"/>
      <w:marLeft w:val="0"/>
      <w:marRight w:val="0"/>
      <w:marTop w:val="0"/>
      <w:marBottom w:val="0"/>
      <w:divBdr>
        <w:top w:val="none" w:sz="0" w:space="0" w:color="auto"/>
        <w:left w:val="none" w:sz="0" w:space="0" w:color="auto"/>
        <w:bottom w:val="none" w:sz="0" w:space="0" w:color="auto"/>
        <w:right w:val="none" w:sz="0" w:space="0" w:color="auto"/>
      </w:divBdr>
    </w:div>
    <w:div w:id="205287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C7E1-E6C5-441F-83D8-0B4BBCD3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Myschyshyn</dc:creator>
  <cp:keywords/>
  <dc:description/>
  <cp:lastModifiedBy>Jessica Tapatai</cp:lastModifiedBy>
  <cp:revision>2</cp:revision>
  <dcterms:created xsi:type="dcterms:W3CDTF">2020-02-06T15:44:00Z</dcterms:created>
  <dcterms:modified xsi:type="dcterms:W3CDTF">2020-02-06T15:44:00Z</dcterms:modified>
</cp:coreProperties>
</file>