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665B" w14:textId="1FDAC2F6" w:rsidR="00926DA0" w:rsidRDefault="00044FFD" w:rsidP="00926DA0">
      <w:pPr>
        <w:pBdr>
          <w:bottom w:val="single" w:sz="12" w:space="1" w:color="auto"/>
        </w:pBdr>
        <w:tabs>
          <w:tab w:val="left" w:pos="720"/>
          <w:tab w:val="left" w:pos="1440"/>
          <w:tab w:val="left" w:pos="2160"/>
          <w:tab w:val="left" w:pos="2880"/>
          <w:tab w:val="left" w:pos="3600"/>
          <w:tab w:val="left" w:pos="4320"/>
          <w:tab w:val="left" w:pos="5040"/>
          <w:tab w:val="left" w:pos="5760"/>
          <w:tab w:val="left" w:pos="7290"/>
        </w:tabs>
        <w:spacing w:line="240" w:lineRule="auto"/>
        <w:jc w:val="both"/>
        <w:rPr>
          <w:rFonts w:ascii="Arial" w:eastAsia="Arial" w:hAnsi="Arial" w:cs="Arial"/>
          <w:sz w:val="38"/>
          <w:szCs w:val="38"/>
          <w:lang w:val="fr-CA"/>
        </w:rPr>
      </w:pPr>
      <w:r>
        <w:rPr>
          <w:rFonts w:ascii="Arial" w:eastAsia="Arial" w:hAnsi="Arial" w:cs="Arial"/>
          <w:noProof/>
          <w:sz w:val="38"/>
          <w:szCs w:val="38"/>
          <w:lang w:eastAsia="en-CA"/>
        </w:rPr>
        <w:drawing>
          <wp:inline distT="0" distB="0" distL="0" distR="0" wp14:anchorId="45E566B3" wp14:editId="00B18FC6">
            <wp:extent cx="1721642" cy="97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versityofManitoba-logo-Law-cmyk-vert.eps"/>
                    <pic:cNvPicPr/>
                  </pic:nvPicPr>
                  <pic:blipFill>
                    <a:blip r:embed="rId9">
                      <a:extLst>
                        <a:ext uri="{28A0092B-C50C-407E-A947-70E740481C1C}">
                          <a14:useLocalDpi xmlns:a14="http://schemas.microsoft.com/office/drawing/2010/main" val="0"/>
                        </a:ext>
                      </a:extLst>
                    </a:blip>
                    <a:stretch>
                      <a:fillRect/>
                    </a:stretch>
                  </pic:blipFill>
                  <pic:spPr>
                    <a:xfrm>
                      <a:off x="0" y="0"/>
                      <a:ext cx="1721642" cy="972000"/>
                    </a:xfrm>
                    <a:prstGeom prst="rect">
                      <a:avLst/>
                    </a:prstGeom>
                  </pic:spPr>
                </pic:pic>
              </a:graphicData>
            </a:graphic>
          </wp:inline>
        </w:drawing>
      </w:r>
      <w:r w:rsidR="00926DA0">
        <w:rPr>
          <w:rFonts w:ascii="Arial" w:eastAsia="Arial" w:hAnsi="Arial" w:cs="Arial"/>
          <w:sz w:val="38"/>
          <w:szCs w:val="38"/>
          <w:lang w:val="fr-CA"/>
        </w:rPr>
        <w:tab/>
      </w:r>
      <w:r w:rsidR="0065639B">
        <w:rPr>
          <w:rFonts w:ascii="Arial" w:eastAsia="Arial" w:hAnsi="Arial" w:cs="Arial"/>
          <w:sz w:val="38"/>
          <w:szCs w:val="38"/>
          <w:lang w:val="fr-CA"/>
        </w:rPr>
        <w:tab/>
      </w:r>
      <w:r w:rsidR="00926DA0">
        <w:rPr>
          <w:noProof/>
          <w:lang w:eastAsia="en-CA"/>
        </w:rPr>
        <w:drawing>
          <wp:inline distT="0" distB="0" distL="0" distR="0" wp14:anchorId="56AD6DE2" wp14:editId="7DE46CED">
            <wp:extent cx="1126958" cy="12960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t_Logo_Web_Small_Dalhousie Law 2019 hosts.jpg"/>
                    <pic:cNvPicPr/>
                  </pic:nvPicPr>
                  <pic:blipFill>
                    <a:blip r:embed="rId10">
                      <a:extLst>
                        <a:ext uri="{28A0092B-C50C-407E-A947-70E740481C1C}">
                          <a14:useLocalDpi xmlns:a14="http://schemas.microsoft.com/office/drawing/2010/main" val="0"/>
                        </a:ext>
                      </a:extLst>
                    </a:blip>
                    <a:stretch>
                      <a:fillRect/>
                    </a:stretch>
                  </pic:blipFill>
                  <pic:spPr>
                    <a:xfrm>
                      <a:off x="0" y="0"/>
                      <a:ext cx="1126958" cy="1296000"/>
                    </a:xfrm>
                    <a:prstGeom prst="rect">
                      <a:avLst/>
                    </a:prstGeom>
                  </pic:spPr>
                </pic:pic>
              </a:graphicData>
            </a:graphic>
          </wp:inline>
        </w:drawing>
      </w:r>
      <w:r w:rsidR="0065639B">
        <w:rPr>
          <w:rFonts w:ascii="Arial" w:eastAsia="Arial" w:hAnsi="Arial" w:cs="Arial"/>
          <w:sz w:val="38"/>
          <w:szCs w:val="38"/>
          <w:lang w:val="fr-CA"/>
        </w:rPr>
        <w:tab/>
      </w:r>
      <w:r w:rsidR="00926DA0">
        <w:rPr>
          <w:rFonts w:ascii="Arial" w:eastAsia="Arial" w:hAnsi="Arial" w:cs="Arial"/>
          <w:sz w:val="38"/>
          <w:szCs w:val="38"/>
          <w:lang w:val="fr-CA"/>
        </w:rPr>
        <w:tab/>
      </w:r>
      <w:r>
        <w:rPr>
          <w:rFonts w:ascii="Arial" w:eastAsia="Arial" w:hAnsi="Arial" w:cs="Arial"/>
          <w:noProof/>
          <w:sz w:val="38"/>
          <w:szCs w:val="38"/>
          <w:lang w:eastAsia="en-CA"/>
        </w:rPr>
        <w:drawing>
          <wp:inline distT="0" distB="0" distL="0" distR="0" wp14:anchorId="36FFD208" wp14:editId="2C24819E">
            <wp:extent cx="1293376" cy="12960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bson Hall tag line logo_horizont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3376" cy="1296000"/>
                    </a:xfrm>
                    <a:prstGeom prst="rect">
                      <a:avLst/>
                    </a:prstGeom>
                  </pic:spPr>
                </pic:pic>
              </a:graphicData>
            </a:graphic>
          </wp:inline>
        </w:drawing>
      </w:r>
    </w:p>
    <w:p w14:paraId="2676272B" w14:textId="77777777" w:rsidR="0065639B" w:rsidRPr="0065639B" w:rsidRDefault="0065639B" w:rsidP="00926DA0">
      <w:pPr>
        <w:pBdr>
          <w:bottom w:val="single" w:sz="12" w:space="1" w:color="auto"/>
        </w:pBdr>
        <w:tabs>
          <w:tab w:val="left" w:pos="720"/>
          <w:tab w:val="left" w:pos="1440"/>
          <w:tab w:val="left" w:pos="2160"/>
          <w:tab w:val="left" w:pos="2880"/>
          <w:tab w:val="left" w:pos="3600"/>
          <w:tab w:val="left" w:pos="4320"/>
          <w:tab w:val="left" w:pos="5040"/>
          <w:tab w:val="left" w:pos="5760"/>
          <w:tab w:val="left" w:pos="7290"/>
        </w:tabs>
        <w:spacing w:line="240" w:lineRule="auto"/>
        <w:jc w:val="both"/>
        <w:rPr>
          <w:rFonts w:ascii="Arial" w:eastAsia="Arial" w:hAnsi="Arial" w:cs="Arial"/>
          <w:sz w:val="10"/>
          <w:szCs w:val="10"/>
          <w:lang w:val="fr-CA"/>
        </w:rPr>
      </w:pPr>
    </w:p>
    <w:p w14:paraId="00000001" w14:textId="050D654A" w:rsidR="008B3223" w:rsidRPr="002523C0" w:rsidRDefault="00772BAC">
      <w:pPr>
        <w:spacing w:line="240" w:lineRule="auto"/>
        <w:jc w:val="both"/>
        <w:rPr>
          <w:rFonts w:ascii="Arial" w:eastAsia="Arial" w:hAnsi="Arial" w:cs="Arial"/>
          <w:sz w:val="38"/>
          <w:szCs w:val="38"/>
          <w:lang w:val="fr-CA"/>
        </w:rPr>
      </w:pPr>
      <w:r w:rsidRPr="002523C0">
        <w:rPr>
          <w:rFonts w:ascii="Arial" w:eastAsia="Arial" w:hAnsi="Arial" w:cs="Arial"/>
          <w:sz w:val="38"/>
          <w:szCs w:val="38"/>
          <w:lang w:val="fr-CA"/>
        </w:rPr>
        <w:t>CONCOURS DE PLAIDO</w:t>
      </w:r>
      <w:r w:rsidR="00EE4E97" w:rsidRPr="002523C0">
        <w:rPr>
          <w:rFonts w:ascii="Arial" w:eastAsia="Arial" w:hAnsi="Arial" w:cs="Arial"/>
          <w:sz w:val="38"/>
          <w:szCs w:val="38"/>
          <w:lang w:val="fr-CA"/>
        </w:rPr>
        <w:t>I</w:t>
      </w:r>
      <w:r w:rsidRPr="002523C0">
        <w:rPr>
          <w:rFonts w:ascii="Arial" w:eastAsia="Arial" w:hAnsi="Arial" w:cs="Arial"/>
          <w:sz w:val="38"/>
          <w:szCs w:val="38"/>
          <w:lang w:val="fr-CA"/>
        </w:rPr>
        <w:t>RIE KAWASKIMHON 2020</w:t>
      </w:r>
    </w:p>
    <w:p w14:paraId="448C0298" w14:textId="77777777" w:rsidR="002523C0" w:rsidRPr="00334727" w:rsidRDefault="00772BAC" w:rsidP="002523C0">
      <w:pPr>
        <w:spacing w:line="240" w:lineRule="auto"/>
        <w:jc w:val="both"/>
        <w:rPr>
          <w:rFonts w:ascii="Arial" w:hAnsi="Arial" w:cs="Arial"/>
          <w:sz w:val="32"/>
          <w:szCs w:val="32"/>
        </w:rPr>
      </w:pPr>
      <w:r w:rsidRPr="004A433E">
        <w:rPr>
          <w:rFonts w:ascii="Arial" w:eastAsia="Arial" w:hAnsi="Arial" w:cs="Arial"/>
          <w:sz w:val="32"/>
          <w:szCs w:val="32"/>
          <w:lang w:val="en-US"/>
        </w:rPr>
        <w:t>FAITS EN BREF</w:t>
      </w:r>
      <w:r w:rsidR="004A433E" w:rsidRPr="004A433E">
        <w:rPr>
          <w:rFonts w:ascii="Arial" w:hAnsi="Arial" w:cs="Arial"/>
          <w:sz w:val="32"/>
          <w:szCs w:val="32"/>
        </w:rPr>
        <w:t xml:space="preserve"> </w:t>
      </w:r>
    </w:p>
    <w:p w14:paraId="00000003" w14:textId="061413AA" w:rsidR="008B3223" w:rsidRPr="002523C0" w:rsidRDefault="008B3223" w:rsidP="002523C0">
      <w:pPr>
        <w:spacing w:line="480" w:lineRule="auto"/>
        <w:jc w:val="both"/>
        <w:rPr>
          <w:rFonts w:ascii="Arial" w:hAnsi="Arial" w:cs="Arial"/>
          <w:i/>
          <w:sz w:val="20"/>
          <w:szCs w:val="20"/>
        </w:rPr>
      </w:pPr>
    </w:p>
    <w:p w14:paraId="00000004" w14:textId="77777777" w:rsidR="008B3223" w:rsidRPr="004A433E" w:rsidRDefault="00772BAC" w:rsidP="002523C0">
      <w:pPr>
        <w:spacing w:line="480" w:lineRule="auto"/>
        <w:jc w:val="both"/>
        <w:rPr>
          <w:rFonts w:ascii="Arial" w:eastAsia="Arial" w:hAnsi="Arial" w:cs="Arial"/>
          <w:sz w:val="24"/>
          <w:szCs w:val="24"/>
          <w:lang w:val="fr-CA"/>
        </w:rPr>
      </w:pPr>
      <w:r w:rsidRPr="004A433E">
        <w:rPr>
          <w:rFonts w:ascii="Arial" w:eastAsia="Arial" w:hAnsi="Arial" w:cs="Arial"/>
          <w:sz w:val="24"/>
          <w:szCs w:val="24"/>
          <w:lang w:val="fr-CA"/>
        </w:rPr>
        <w:t xml:space="preserve">Vingt ans se sont écoulés depuis l'affaire </w:t>
      </w:r>
      <w:r w:rsidRPr="004A433E">
        <w:rPr>
          <w:rFonts w:ascii="Arial" w:eastAsia="Arial" w:hAnsi="Arial" w:cs="Arial"/>
          <w:i/>
          <w:sz w:val="24"/>
          <w:szCs w:val="24"/>
          <w:lang w:val="fr-CA"/>
        </w:rPr>
        <w:t xml:space="preserve">R. c. </w:t>
      </w:r>
      <w:proofErr w:type="spellStart"/>
      <w:r w:rsidRPr="004A433E">
        <w:rPr>
          <w:rFonts w:ascii="Arial" w:eastAsia="Arial" w:hAnsi="Arial" w:cs="Arial"/>
          <w:i/>
          <w:sz w:val="24"/>
          <w:szCs w:val="24"/>
          <w:lang w:val="fr-CA"/>
        </w:rPr>
        <w:t>Gladue</w:t>
      </w:r>
      <w:proofErr w:type="spellEnd"/>
      <w:r w:rsidRPr="004A433E">
        <w:rPr>
          <w:rFonts w:ascii="Arial" w:eastAsia="Arial" w:hAnsi="Arial" w:cs="Arial"/>
          <w:sz w:val="24"/>
          <w:szCs w:val="24"/>
          <w:lang w:val="fr-CA"/>
        </w:rPr>
        <w:t xml:space="preserve">, dans laquelle la Cour suprême du Canada (CSC) a déclaré que la </w:t>
      </w:r>
      <w:proofErr w:type="spellStart"/>
      <w:r w:rsidRPr="004A433E">
        <w:rPr>
          <w:rFonts w:ascii="Arial" w:eastAsia="Arial" w:hAnsi="Arial" w:cs="Arial"/>
          <w:sz w:val="24"/>
          <w:szCs w:val="24"/>
          <w:lang w:val="fr-CA"/>
        </w:rPr>
        <w:t>surincarcération</w:t>
      </w:r>
      <w:proofErr w:type="spellEnd"/>
      <w:r w:rsidRPr="004A433E">
        <w:rPr>
          <w:rFonts w:ascii="Arial" w:eastAsia="Arial" w:hAnsi="Arial" w:cs="Arial"/>
          <w:sz w:val="24"/>
          <w:szCs w:val="24"/>
          <w:lang w:val="fr-CA"/>
        </w:rPr>
        <w:t xml:space="preserve"> des peuples autochtones pouvait « à bon droit qualifier de crise dans </w:t>
      </w:r>
      <w:r w:rsidRPr="004A433E">
        <w:rPr>
          <w:rFonts w:ascii="Arial" w:eastAsia="Arial" w:hAnsi="Arial" w:cs="Arial"/>
          <w:sz w:val="24"/>
          <w:szCs w:val="24"/>
          <w:lang w:val="fr-CA"/>
        </w:rPr>
        <w:lastRenderedPageBreak/>
        <w:t>le système canadien de justice pénale »</w:t>
      </w:r>
      <w:r w:rsidRPr="004A433E">
        <w:rPr>
          <w:rFonts w:ascii="Arial" w:eastAsia="Arial" w:hAnsi="Arial" w:cs="Arial"/>
          <w:sz w:val="24"/>
          <w:szCs w:val="24"/>
          <w:vertAlign w:val="superscript"/>
          <w:lang w:val="fr-CA"/>
        </w:rPr>
        <w:footnoteReference w:id="1"/>
      </w:r>
      <w:r w:rsidRPr="004A433E">
        <w:rPr>
          <w:rFonts w:ascii="Arial" w:eastAsia="Arial" w:hAnsi="Arial" w:cs="Arial"/>
          <w:sz w:val="24"/>
          <w:szCs w:val="24"/>
          <w:lang w:val="fr-CA"/>
        </w:rPr>
        <w:t>. La surreprésentation des autochtones en détention est une préoccupation qui remonte à la fin de la Seconde Guerre mondiale.</w:t>
      </w:r>
      <w:r w:rsidRPr="004A433E">
        <w:rPr>
          <w:rFonts w:ascii="Arial" w:eastAsia="Arial" w:hAnsi="Arial" w:cs="Arial"/>
          <w:sz w:val="24"/>
          <w:szCs w:val="24"/>
          <w:vertAlign w:val="superscript"/>
          <w:lang w:val="fr-CA"/>
        </w:rPr>
        <w:footnoteReference w:id="2"/>
      </w:r>
    </w:p>
    <w:p w14:paraId="00000005" w14:textId="77777777" w:rsidR="008B3223" w:rsidRPr="004A433E" w:rsidRDefault="00772BAC">
      <w:pPr>
        <w:spacing w:line="480" w:lineRule="auto"/>
        <w:jc w:val="both"/>
        <w:rPr>
          <w:rFonts w:ascii="Arial" w:eastAsia="Arial" w:hAnsi="Arial" w:cs="Arial"/>
          <w:sz w:val="24"/>
          <w:szCs w:val="24"/>
          <w:lang w:val="fr-CA"/>
        </w:rPr>
      </w:pPr>
      <w:r w:rsidRPr="004A433E">
        <w:rPr>
          <w:rFonts w:ascii="Arial" w:eastAsia="Arial" w:hAnsi="Arial" w:cs="Arial"/>
          <w:sz w:val="24"/>
          <w:szCs w:val="24"/>
          <w:lang w:val="fr-CA"/>
        </w:rPr>
        <w:t xml:space="preserve">Il est juste de dire que la crise n'a fait que s'aggraver depuis cette époque. Un certain nombre d'études et de comités ont examiné la question au fil des ans, le rapport de la </w:t>
      </w:r>
      <w:proofErr w:type="spellStart"/>
      <w:r w:rsidRPr="004A433E">
        <w:rPr>
          <w:rFonts w:ascii="Arial" w:eastAsia="Arial" w:hAnsi="Arial" w:cs="Arial"/>
          <w:i/>
          <w:sz w:val="24"/>
          <w:szCs w:val="24"/>
          <w:lang w:val="fr-CA"/>
        </w:rPr>
        <w:t>Aboriginal</w:t>
      </w:r>
      <w:proofErr w:type="spellEnd"/>
      <w:r w:rsidRPr="004A433E">
        <w:rPr>
          <w:rFonts w:ascii="Arial" w:eastAsia="Arial" w:hAnsi="Arial" w:cs="Arial"/>
          <w:i/>
          <w:sz w:val="24"/>
          <w:szCs w:val="24"/>
          <w:lang w:val="fr-CA"/>
        </w:rPr>
        <w:t xml:space="preserve"> Justice </w:t>
      </w:r>
      <w:proofErr w:type="spellStart"/>
      <w:r w:rsidRPr="004A433E">
        <w:rPr>
          <w:rFonts w:ascii="Arial" w:eastAsia="Arial" w:hAnsi="Arial" w:cs="Arial"/>
          <w:i/>
          <w:sz w:val="24"/>
          <w:szCs w:val="24"/>
          <w:lang w:val="fr-CA"/>
        </w:rPr>
        <w:t>Inquiry</w:t>
      </w:r>
      <w:proofErr w:type="spellEnd"/>
      <w:r w:rsidRPr="004A433E">
        <w:rPr>
          <w:rFonts w:ascii="Arial" w:eastAsia="Arial" w:hAnsi="Arial" w:cs="Arial"/>
          <w:sz w:val="24"/>
          <w:szCs w:val="24"/>
          <w:vertAlign w:val="superscript"/>
          <w:lang w:val="fr-CA"/>
        </w:rPr>
        <w:footnoteReference w:id="3"/>
      </w:r>
      <w:r w:rsidRPr="004A433E">
        <w:rPr>
          <w:rFonts w:ascii="Arial" w:eastAsia="Arial" w:hAnsi="Arial" w:cs="Arial"/>
          <w:i/>
          <w:sz w:val="24"/>
          <w:szCs w:val="24"/>
          <w:lang w:val="fr-CA"/>
        </w:rPr>
        <w:t xml:space="preserve"> </w:t>
      </w:r>
      <w:r w:rsidRPr="004A433E">
        <w:rPr>
          <w:rFonts w:ascii="Arial" w:eastAsia="Arial" w:hAnsi="Arial" w:cs="Arial"/>
          <w:sz w:val="24"/>
          <w:szCs w:val="24"/>
          <w:lang w:val="fr-CA"/>
        </w:rPr>
        <w:t>(une enquête sur la justice autochtone) étant le plus complet en ce qui concerne les Autochtones du Manitoba.  Plusieurs facteurs ont empêché un véritable changement.</w:t>
      </w:r>
    </w:p>
    <w:p w14:paraId="00000006" w14:textId="27B22FFF" w:rsidR="008B3223" w:rsidRPr="004A433E" w:rsidRDefault="00772BAC">
      <w:pPr>
        <w:spacing w:line="480" w:lineRule="auto"/>
        <w:jc w:val="both"/>
        <w:rPr>
          <w:rFonts w:ascii="Arial" w:eastAsia="Arial" w:hAnsi="Arial" w:cs="Arial"/>
          <w:sz w:val="24"/>
          <w:szCs w:val="24"/>
          <w:lang w:val="fr-CA"/>
        </w:rPr>
      </w:pPr>
      <w:r w:rsidRPr="004A433E">
        <w:rPr>
          <w:rFonts w:ascii="Arial" w:eastAsia="Arial" w:hAnsi="Arial" w:cs="Arial"/>
          <w:i/>
          <w:sz w:val="24"/>
          <w:szCs w:val="24"/>
          <w:lang w:val="fr-CA"/>
        </w:rPr>
        <w:t xml:space="preserve">R. c. </w:t>
      </w:r>
      <w:proofErr w:type="spellStart"/>
      <w:r w:rsidRPr="004A433E">
        <w:rPr>
          <w:rFonts w:ascii="Arial" w:eastAsia="Arial" w:hAnsi="Arial" w:cs="Arial"/>
          <w:i/>
          <w:sz w:val="24"/>
          <w:szCs w:val="24"/>
          <w:lang w:val="fr-CA"/>
        </w:rPr>
        <w:t>Gladue</w:t>
      </w:r>
      <w:proofErr w:type="spellEnd"/>
      <w:r w:rsidRPr="004A433E">
        <w:rPr>
          <w:rFonts w:ascii="Arial" w:eastAsia="Arial" w:hAnsi="Arial" w:cs="Arial"/>
          <w:sz w:val="24"/>
          <w:szCs w:val="24"/>
          <w:lang w:val="fr-CA"/>
        </w:rPr>
        <w:t xml:space="preserve"> (</w:t>
      </w:r>
      <w:proofErr w:type="spellStart"/>
      <w:r w:rsidRPr="004A433E">
        <w:rPr>
          <w:rFonts w:ascii="Arial" w:eastAsia="Arial" w:hAnsi="Arial" w:cs="Arial"/>
          <w:i/>
          <w:iCs/>
          <w:sz w:val="24"/>
          <w:szCs w:val="24"/>
          <w:lang w:val="fr-CA"/>
        </w:rPr>
        <w:t>Gladue</w:t>
      </w:r>
      <w:proofErr w:type="spellEnd"/>
      <w:r w:rsidRPr="004A433E">
        <w:rPr>
          <w:rFonts w:ascii="Arial" w:eastAsia="Arial" w:hAnsi="Arial" w:cs="Arial"/>
          <w:sz w:val="24"/>
          <w:szCs w:val="24"/>
          <w:lang w:val="fr-CA"/>
        </w:rPr>
        <w:t>) fut une décision historique de la Cour suprême du Canada concernant l'alinéa 718.2</w:t>
      </w:r>
      <w:r w:rsidR="00EE4E97" w:rsidRPr="004A433E">
        <w:rPr>
          <w:rFonts w:ascii="Arial" w:eastAsia="Arial" w:hAnsi="Arial" w:cs="Arial"/>
          <w:sz w:val="24"/>
          <w:szCs w:val="24"/>
          <w:lang w:val="fr-CA"/>
        </w:rPr>
        <w:t xml:space="preserve"> </w:t>
      </w:r>
      <w:r w:rsidRPr="004A433E">
        <w:rPr>
          <w:rFonts w:ascii="Arial" w:eastAsia="Arial" w:hAnsi="Arial" w:cs="Arial"/>
          <w:sz w:val="24"/>
          <w:szCs w:val="24"/>
          <w:lang w:val="fr-CA"/>
        </w:rPr>
        <w:t xml:space="preserve">e) du </w:t>
      </w:r>
      <w:r w:rsidRPr="004A433E">
        <w:rPr>
          <w:rFonts w:ascii="Arial" w:eastAsia="Arial" w:hAnsi="Arial" w:cs="Arial"/>
          <w:i/>
          <w:iCs/>
          <w:sz w:val="24"/>
          <w:szCs w:val="24"/>
          <w:lang w:val="fr-CA"/>
        </w:rPr>
        <w:t>Code criminel</w:t>
      </w:r>
      <w:r w:rsidRPr="004A433E">
        <w:rPr>
          <w:rFonts w:ascii="Arial" w:eastAsia="Arial" w:hAnsi="Arial" w:cs="Arial"/>
          <w:sz w:val="24"/>
          <w:szCs w:val="24"/>
          <w:lang w:val="fr-CA"/>
        </w:rPr>
        <w:t xml:space="preserve">, dans la </w:t>
      </w:r>
      <w:r w:rsidRPr="004A433E">
        <w:rPr>
          <w:rFonts w:ascii="Arial" w:eastAsia="Arial" w:hAnsi="Arial" w:cs="Arial"/>
          <w:sz w:val="24"/>
          <w:szCs w:val="24"/>
          <w:lang w:val="fr-CA"/>
        </w:rPr>
        <w:lastRenderedPageBreak/>
        <w:t xml:space="preserve">cause d'une femme autochtone de la Colombie-Britannique. Le 16 septembre 1995, Jamie Tanis </w:t>
      </w:r>
      <w:proofErr w:type="spellStart"/>
      <w:r w:rsidRPr="004A433E">
        <w:rPr>
          <w:rFonts w:ascii="Arial" w:eastAsia="Arial" w:hAnsi="Arial" w:cs="Arial"/>
          <w:sz w:val="24"/>
          <w:szCs w:val="24"/>
          <w:lang w:val="fr-CA"/>
        </w:rPr>
        <w:t>Gladue</w:t>
      </w:r>
      <w:proofErr w:type="spellEnd"/>
      <w:r w:rsidRPr="004A433E">
        <w:rPr>
          <w:rFonts w:ascii="Arial" w:eastAsia="Arial" w:hAnsi="Arial" w:cs="Arial"/>
          <w:sz w:val="24"/>
          <w:szCs w:val="24"/>
          <w:lang w:val="fr-CA"/>
        </w:rPr>
        <w:t xml:space="preserve"> célébrait son dix-neuvième anniversaire lorsqu'elle a eu un violent désaccord avec son copain et l'a poignardé. Elle a éventuellement été reconnue coupable d'homicide involontaire. Lors de l'audience de détermination de la peine, le juge a tenu compte de son jeune âge, du fait qu’elle soit mère et de l'absence de tout antécédent criminel grave. Elle a été condamnée à trois ans d'emprisonnement. Lorsque la Cour suprême a rejeté son appel </w:t>
      </w:r>
      <w:r w:rsidR="00EE4E97" w:rsidRPr="004A433E">
        <w:rPr>
          <w:rFonts w:ascii="Arial" w:eastAsia="Arial" w:hAnsi="Arial" w:cs="Arial"/>
          <w:sz w:val="24"/>
          <w:szCs w:val="24"/>
          <w:lang w:val="fr-CA"/>
        </w:rPr>
        <w:t>sur</w:t>
      </w:r>
      <w:r w:rsidRPr="004A433E">
        <w:rPr>
          <w:rFonts w:ascii="Arial" w:eastAsia="Arial" w:hAnsi="Arial" w:cs="Arial"/>
          <w:sz w:val="24"/>
          <w:szCs w:val="24"/>
          <w:lang w:val="fr-CA"/>
        </w:rPr>
        <w:t xml:space="preserve"> la peine en 1999, la Cour a cité avec approbation une étude selon laquelle « la prison est, pour bon nombre de jeunes autochtones, l’équivalent de ce que les pensionnats étaient pour leurs parents ».</w:t>
      </w:r>
      <w:r w:rsidRPr="004A433E">
        <w:rPr>
          <w:rFonts w:ascii="Arial" w:eastAsia="Arial" w:hAnsi="Arial" w:cs="Arial"/>
          <w:sz w:val="24"/>
          <w:szCs w:val="24"/>
          <w:vertAlign w:val="superscript"/>
          <w:lang w:val="fr-CA"/>
        </w:rPr>
        <w:footnoteReference w:id="4"/>
      </w:r>
    </w:p>
    <w:p w14:paraId="00000007" w14:textId="77777777" w:rsidR="008B3223" w:rsidRPr="004A433E" w:rsidRDefault="00772BAC">
      <w:pPr>
        <w:spacing w:line="480" w:lineRule="auto"/>
        <w:jc w:val="both"/>
        <w:rPr>
          <w:rFonts w:ascii="Arial" w:eastAsia="Arial" w:hAnsi="Arial" w:cs="Arial"/>
          <w:sz w:val="24"/>
          <w:szCs w:val="24"/>
          <w:lang w:val="fr-CA"/>
        </w:rPr>
      </w:pPr>
      <w:r w:rsidRPr="004A433E">
        <w:rPr>
          <w:rFonts w:ascii="Arial" w:eastAsia="Arial" w:hAnsi="Arial" w:cs="Arial"/>
          <w:sz w:val="24"/>
          <w:szCs w:val="24"/>
          <w:lang w:val="fr-CA"/>
        </w:rPr>
        <w:t>La CSC a souligné deux considérations que les juges doivent appliquer lorsqu'ils déterminent une peine appropriée.</w:t>
      </w:r>
    </w:p>
    <w:p w14:paraId="00000008" w14:textId="77777777" w:rsidR="008B3223" w:rsidRPr="004A433E" w:rsidRDefault="00772BAC">
      <w:pPr>
        <w:numPr>
          <w:ilvl w:val="0"/>
          <w:numId w:val="1"/>
        </w:numPr>
        <w:spacing w:after="0" w:line="480" w:lineRule="auto"/>
        <w:jc w:val="both"/>
        <w:rPr>
          <w:rFonts w:ascii="Arial" w:eastAsia="Arial" w:hAnsi="Arial" w:cs="Arial"/>
          <w:sz w:val="24"/>
          <w:szCs w:val="24"/>
          <w:lang w:val="fr-CA"/>
        </w:rPr>
      </w:pPr>
      <w:r w:rsidRPr="004A433E">
        <w:rPr>
          <w:rFonts w:ascii="Arial" w:eastAsia="Arial" w:hAnsi="Arial" w:cs="Arial"/>
          <w:sz w:val="24"/>
          <w:szCs w:val="24"/>
          <w:lang w:val="fr-CA"/>
        </w:rPr>
        <w:lastRenderedPageBreak/>
        <w:t>Les facteurs systématiques ou contextuels uniques qui peuvent avoir joués un rôle dans la comparution des délinquants autochtones devant les tribunaux; et</w:t>
      </w:r>
    </w:p>
    <w:p w14:paraId="00000009" w14:textId="77777777" w:rsidR="008B3223" w:rsidRPr="004A433E" w:rsidRDefault="00772BAC">
      <w:pPr>
        <w:numPr>
          <w:ilvl w:val="0"/>
          <w:numId w:val="1"/>
        </w:numPr>
        <w:spacing w:line="480" w:lineRule="auto"/>
        <w:jc w:val="both"/>
        <w:rPr>
          <w:rFonts w:ascii="Arial" w:eastAsia="Arial" w:hAnsi="Arial" w:cs="Arial"/>
          <w:sz w:val="24"/>
          <w:szCs w:val="24"/>
          <w:lang w:val="fr-CA"/>
        </w:rPr>
      </w:pPr>
      <w:r w:rsidRPr="004A433E">
        <w:rPr>
          <w:rFonts w:ascii="Arial" w:eastAsia="Arial" w:hAnsi="Arial" w:cs="Arial"/>
          <w:sz w:val="24"/>
          <w:szCs w:val="24"/>
          <w:lang w:val="fr-CA"/>
        </w:rPr>
        <w:t>Les types de procédures de détermination de la peine et de sanctions qui peuvent être appropriés dans les circonstances impliquant un délinquant en raison de son patrimoine ou de ses liens autochtones.</w:t>
      </w:r>
    </w:p>
    <w:p w14:paraId="0000000A" w14:textId="704D84D7" w:rsidR="008B3223" w:rsidRPr="004A433E" w:rsidRDefault="00772BAC">
      <w:pPr>
        <w:spacing w:line="480" w:lineRule="auto"/>
        <w:jc w:val="both"/>
        <w:rPr>
          <w:rFonts w:ascii="Arial" w:eastAsia="Arial" w:hAnsi="Arial" w:cs="Arial"/>
          <w:sz w:val="24"/>
          <w:szCs w:val="24"/>
          <w:lang w:val="fr-CA"/>
        </w:rPr>
      </w:pPr>
      <w:r w:rsidRPr="004A433E">
        <w:rPr>
          <w:rFonts w:ascii="Arial" w:eastAsia="Arial" w:hAnsi="Arial" w:cs="Arial"/>
          <w:sz w:val="24"/>
          <w:szCs w:val="24"/>
          <w:lang w:val="fr-CA"/>
        </w:rPr>
        <w:t xml:space="preserve">On peut soutenir que l'incapacité d'améliorer la </w:t>
      </w:r>
      <w:proofErr w:type="spellStart"/>
      <w:r w:rsidRPr="004A433E">
        <w:rPr>
          <w:rFonts w:ascii="Arial" w:eastAsia="Arial" w:hAnsi="Arial" w:cs="Arial"/>
          <w:sz w:val="24"/>
          <w:szCs w:val="24"/>
          <w:lang w:val="fr-CA"/>
        </w:rPr>
        <w:t>surincarcération</w:t>
      </w:r>
      <w:proofErr w:type="spellEnd"/>
      <w:r w:rsidRPr="004A433E">
        <w:rPr>
          <w:rFonts w:ascii="Arial" w:eastAsia="Arial" w:hAnsi="Arial" w:cs="Arial"/>
          <w:sz w:val="24"/>
          <w:szCs w:val="24"/>
          <w:lang w:val="fr-CA"/>
        </w:rPr>
        <w:t xml:space="preserve"> des Autochtones est le résultat d'une application faible et incohérente des principes de l'arrêt </w:t>
      </w:r>
      <w:proofErr w:type="spellStart"/>
      <w:r w:rsidRPr="004A433E">
        <w:rPr>
          <w:rFonts w:ascii="Arial" w:eastAsia="Arial" w:hAnsi="Arial" w:cs="Arial"/>
          <w:i/>
          <w:iCs/>
          <w:sz w:val="24"/>
          <w:szCs w:val="24"/>
          <w:lang w:val="fr-CA"/>
        </w:rPr>
        <w:t>Gladue</w:t>
      </w:r>
      <w:proofErr w:type="spellEnd"/>
      <w:r w:rsidRPr="004A433E">
        <w:rPr>
          <w:rFonts w:ascii="Arial" w:eastAsia="Arial" w:hAnsi="Arial" w:cs="Arial"/>
          <w:sz w:val="24"/>
          <w:szCs w:val="24"/>
          <w:lang w:val="fr-CA"/>
        </w:rPr>
        <w:t>. L'engagement a été inégal d'une juridiction à l'autre, en particulier dans les provinces où la population autochtone est la plus élevée.</w:t>
      </w:r>
    </w:p>
    <w:p w14:paraId="0000000B" w14:textId="77777777" w:rsidR="008B3223" w:rsidRPr="004A433E" w:rsidRDefault="00772BAC">
      <w:pPr>
        <w:spacing w:line="480" w:lineRule="auto"/>
        <w:jc w:val="both"/>
        <w:rPr>
          <w:rFonts w:ascii="Arial" w:eastAsia="Arial" w:hAnsi="Arial" w:cs="Arial"/>
          <w:sz w:val="24"/>
          <w:szCs w:val="24"/>
          <w:lang w:val="fr-CA"/>
        </w:rPr>
      </w:pPr>
      <w:r w:rsidRPr="004A433E">
        <w:rPr>
          <w:rFonts w:ascii="Arial" w:eastAsia="Arial" w:hAnsi="Arial" w:cs="Arial"/>
          <w:sz w:val="24"/>
          <w:szCs w:val="24"/>
          <w:lang w:val="fr-CA"/>
        </w:rPr>
        <w:t xml:space="preserve">Une prise en considération des facteurs de l'arrêt </w:t>
      </w:r>
      <w:proofErr w:type="spellStart"/>
      <w:r w:rsidRPr="004A433E">
        <w:rPr>
          <w:rFonts w:ascii="Arial" w:eastAsia="Arial" w:hAnsi="Arial" w:cs="Arial"/>
          <w:i/>
          <w:sz w:val="24"/>
          <w:szCs w:val="24"/>
          <w:lang w:val="fr-CA"/>
        </w:rPr>
        <w:t>Gladue</w:t>
      </w:r>
      <w:proofErr w:type="spellEnd"/>
      <w:r w:rsidRPr="004A433E">
        <w:rPr>
          <w:rFonts w:ascii="Arial" w:eastAsia="Arial" w:hAnsi="Arial" w:cs="Arial"/>
          <w:sz w:val="24"/>
          <w:szCs w:val="24"/>
          <w:lang w:val="fr-CA"/>
        </w:rPr>
        <w:t xml:space="preserve"> est un outil puissant pour résoudre la crise de la </w:t>
      </w:r>
      <w:proofErr w:type="spellStart"/>
      <w:r w:rsidRPr="004A433E">
        <w:rPr>
          <w:rFonts w:ascii="Arial" w:eastAsia="Arial" w:hAnsi="Arial" w:cs="Arial"/>
          <w:sz w:val="24"/>
          <w:szCs w:val="24"/>
          <w:lang w:val="fr-CA"/>
        </w:rPr>
        <w:t>surincarcération</w:t>
      </w:r>
      <w:proofErr w:type="spellEnd"/>
      <w:r w:rsidRPr="004A433E">
        <w:rPr>
          <w:rFonts w:ascii="Arial" w:eastAsia="Arial" w:hAnsi="Arial" w:cs="Arial"/>
          <w:sz w:val="24"/>
          <w:szCs w:val="24"/>
          <w:lang w:val="fr-CA"/>
        </w:rPr>
        <w:t xml:space="preserve"> des Autoch</w:t>
      </w:r>
      <w:r w:rsidRPr="004A433E">
        <w:rPr>
          <w:rFonts w:ascii="Arial" w:eastAsia="Arial" w:hAnsi="Arial" w:cs="Arial"/>
          <w:sz w:val="24"/>
          <w:szCs w:val="24"/>
          <w:lang w:val="fr-CA"/>
        </w:rPr>
        <w:lastRenderedPageBreak/>
        <w:t xml:space="preserve">tones.  Une façon de fournir un contexte et des renseignements importants est de procéder à une évaluation de type </w:t>
      </w:r>
      <w:proofErr w:type="spellStart"/>
      <w:r w:rsidRPr="004A433E">
        <w:rPr>
          <w:rFonts w:ascii="Arial" w:eastAsia="Arial" w:hAnsi="Arial" w:cs="Arial"/>
          <w:sz w:val="24"/>
          <w:szCs w:val="24"/>
          <w:lang w:val="fr-CA"/>
        </w:rPr>
        <w:t>Gladue</w:t>
      </w:r>
      <w:proofErr w:type="spellEnd"/>
      <w:r w:rsidRPr="004A433E">
        <w:rPr>
          <w:rFonts w:ascii="Arial" w:eastAsia="Arial" w:hAnsi="Arial" w:cs="Arial"/>
          <w:sz w:val="24"/>
          <w:szCs w:val="24"/>
          <w:lang w:val="fr-CA"/>
        </w:rPr>
        <w:t xml:space="preserve">.  L'affaire </w:t>
      </w:r>
      <w:r w:rsidRPr="004A433E">
        <w:rPr>
          <w:rFonts w:ascii="Arial" w:eastAsia="Arial" w:hAnsi="Arial" w:cs="Arial"/>
          <w:i/>
          <w:sz w:val="24"/>
          <w:szCs w:val="24"/>
          <w:lang w:val="fr-CA"/>
        </w:rPr>
        <w:t xml:space="preserve">R. c. </w:t>
      </w:r>
      <w:proofErr w:type="spellStart"/>
      <w:r w:rsidRPr="004A433E">
        <w:rPr>
          <w:rFonts w:ascii="Arial" w:eastAsia="Arial" w:hAnsi="Arial" w:cs="Arial"/>
          <w:i/>
          <w:sz w:val="24"/>
          <w:szCs w:val="24"/>
          <w:lang w:val="fr-CA"/>
        </w:rPr>
        <w:t>Ipeelee</w:t>
      </w:r>
      <w:proofErr w:type="spellEnd"/>
      <w:r w:rsidRPr="004A433E">
        <w:rPr>
          <w:rFonts w:ascii="Arial" w:eastAsia="Arial" w:hAnsi="Arial" w:cs="Arial"/>
          <w:sz w:val="24"/>
          <w:szCs w:val="24"/>
          <w:lang w:val="fr-CA"/>
        </w:rPr>
        <w:t xml:space="preserve"> (</w:t>
      </w:r>
      <w:proofErr w:type="spellStart"/>
      <w:r w:rsidRPr="004A433E">
        <w:rPr>
          <w:rFonts w:ascii="Arial" w:eastAsia="Arial" w:hAnsi="Arial" w:cs="Arial"/>
          <w:i/>
          <w:iCs/>
          <w:sz w:val="24"/>
          <w:szCs w:val="24"/>
          <w:lang w:val="fr-CA"/>
        </w:rPr>
        <w:t>Ipeelee</w:t>
      </w:r>
      <w:proofErr w:type="spellEnd"/>
      <w:r w:rsidRPr="004A433E">
        <w:rPr>
          <w:rFonts w:ascii="Arial" w:eastAsia="Arial" w:hAnsi="Arial" w:cs="Arial"/>
          <w:sz w:val="24"/>
          <w:szCs w:val="24"/>
          <w:lang w:val="fr-CA"/>
        </w:rPr>
        <w:t xml:space="preserve">) concernait deux hommes—l'un du Yukon, l'autre du Nunavut, qui avaient tous les deux de graves problèmes d'alcool depuis leur jeunesse, ainsi qu’un long casier judiciaire, qui venaient tous les deux de familles désunies et qui avaient des liens avec les pensionnats. L'argument qui est parvenu à la Cour suprême du Canada concernait la violation de leurs ordonnances de surveillance de longue durée. Dans sa décision de 2012, la Cour a réduit la peine de l'un des hommes et a confirmé celle de l'autre. Ce que l'on retiendra de cette décision est que la Cour suprême a décidé de réexaminer et de réaffirmer l'arrêt </w:t>
      </w:r>
      <w:proofErr w:type="spellStart"/>
      <w:r w:rsidRPr="004A433E">
        <w:rPr>
          <w:rFonts w:ascii="Arial" w:eastAsia="Arial" w:hAnsi="Arial" w:cs="Arial"/>
          <w:i/>
          <w:iCs/>
          <w:sz w:val="24"/>
          <w:szCs w:val="24"/>
          <w:lang w:val="fr-CA"/>
        </w:rPr>
        <w:t>Gladue</w:t>
      </w:r>
      <w:proofErr w:type="spellEnd"/>
      <w:r w:rsidRPr="004A433E">
        <w:rPr>
          <w:rFonts w:ascii="Arial" w:eastAsia="Arial" w:hAnsi="Arial" w:cs="Arial"/>
          <w:sz w:val="24"/>
          <w:szCs w:val="24"/>
          <w:lang w:val="fr-CA"/>
        </w:rPr>
        <w:t xml:space="preserve">. Les juges ont noté que le problème de la surreprésentation des Autochtones s'était aggravé au cours des treize années qui s’étaient écoulées depuis la décision </w:t>
      </w:r>
      <w:proofErr w:type="spellStart"/>
      <w:r w:rsidRPr="004A433E">
        <w:rPr>
          <w:rFonts w:ascii="Arial" w:eastAsia="Arial" w:hAnsi="Arial" w:cs="Arial"/>
          <w:i/>
          <w:iCs/>
          <w:sz w:val="24"/>
          <w:szCs w:val="24"/>
          <w:lang w:val="fr-CA"/>
        </w:rPr>
        <w:t>Gladue</w:t>
      </w:r>
      <w:proofErr w:type="spellEnd"/>
      <w:r w:rsidRPr="004A433E">
        <w:rPr>
          <w:rFonts w:ascii="Arial" w:eastAsia="Arial" w:hAnsi="Arial" w:cs="Arial"/>
          <w:sz w:val="24"/>
          <w:szCs w:val="24"/>
          <w:lang w:val="fr-CA"/>
        </w:rPr>
        <w:t xml:space="preserve">. La Cour a fait remarquer que les Autochtones représentaient 12 % des détenus fédéraux en 1999 lorsque l'arrêt </w:t>
      </w:r>
      <w:proofErr w:type="spellStart"/>
      <w:r w:rsidRPr="004A433E">
        <w:rPr>
          <w:rFonts w:ascii="Arial" w:eastAsia="Arial" w:hAnsi="Arial" w:cs="Arial"/>
          <w:i/>
          <w:iCs/>
          <w:sz w:val="24"/>
          <w:szCs w:val="24"/>
          <w:lang w:val="fr-CA"/>
        </w:rPr>
        <w:t>Gladue</w:t>
      </w:r>
      <w:proofErr w:type="spellEnd"/>
      <w:r w:rsidRPr="004A433E">
        <w:rPr>
          <w:rFonts w:ascii="Arial" w:eastAsia="Arial" w:hAnsi="Arial" w:cs="Arial"/>
          <w:sz w:val="24"/>
          <w:szCs w:val="24"/>
          <w:lang w:val="fr-CA"/>
        </w:rPr>
        <w:t xml:space="preserve"> a été rendu, </w:t>
      </w:r>
      <w:r w:rsidRPr="004A433E">
        <w:rPr>
          <w:rFonts w:ascii="Arial" w:eastAsia="Arial" w:hAnsi="Arial" w:cs="Arial"/>
          <w:sz w:val="24"/>
          <w:szCs w:val="24"/>
          <w:lang w:val="fr-CA"/>
        </w:rPr>
        <w:lastRenderedPageBreak/>
        <w:t>tandis qu’ils constituaient 17 % des admissions en détention fédérale en 2005.</w:t>
      </w:r>
      <w:r w:rsidRPr="004A433E">
        <w:rPr>
          <w:rFonts w:ascii="Arial" w:eastAsia="Arial" w:hAnsi="Arial" w:cs="Arial"/>
          <w:sz w:val="24"/>
          <w:szCs w:val="24"/>
          <w:vertAlign w:val="superscript"/>
          <w:lang w:val="fr-CA"/>
        </w:rPr>
        <w:footnoteReference w:id="5"/>
      </w:r>
    </w:p>
    <w:p w14:paraId="0000000C" w14:textId="48F47B83" w:rsidR="008B3223" w:rsidRDefault="00772BAC">
      <w:pPr>
        <w:spacing w:line="480" w:lineRule="auto"/>
        <w:jc w:val="both"/>
        <w:rPr>
          <w:rFonts w:ascii="Arial" w:eastAsia="Arial" w:hAnsi="Arial" w:cs="Arial"/>
          <w:sz w:val="24"/>
          <w:szCs w:val="24"/>
          <w:lang w:val="fr-CA"/>
        </w:rPr>
      </w:pPr>
      <w:r w:rsidRPr="004A433E">
        <w:rPr>
          <w:rFonts w:ascii="Arial" w:eastAsia="Arial" w:hAnsi="Arial" w:cs="Arial"/>
          <w:sz w:val="24"/>
          <w:szCs w:val="24"/>
          <w:lang w:val="fr-CA"/>
        </w:rPr>
        <w:t xml:space="preserve">La Cour suprême a souligné que certains juges de tribunaux inférieurs avaient commis une erreur dans l'application de l'arrêt </w:t>
      </w:r>
      <w:proofErr w:type="spellStart"/>
      <w:r w:rsidRPr="004A433E">
        <w:rPr>
          <w:rFonts w:ascii="Arial" w:eastAsia="Arial" w:hAnsi="Arial" w:cs="Arial"/>
          <w:i/>
          <w:iCs/>
          <w:sz w:val="24"/>
          <w:szCs w:val="24"/>
          <w:lang w:val="fr-CA"/>
        </w:rPr>
        <w:t>Gladue</w:t>
      </w:r>
      <w:proofErr w:type="spellEnd"/>
      <w:r w:rsidRPr="004A433E">
        <w:rPr>
          <w:rFonts w:ascii="Arial" w:eastAsia="Arial" w:hAnsi="Arial" w:cs="Arial"/>
          <w:sz w:val="24"/>
          <w:szCs w:val="24"/>
          <w:lang w:val="fr-CA"/>
        </w:rPr>
        <w:t xml:space="preserve"> en concluant qu'il ne s'appliquait pas aux infractions graves ni qu'il exigeait qu'un délinquant démontre un lien de causalité entre la commission du crime et les séquelles des pensionnats ou autres facteurs contextuels ou antécédents. L'arrêt </w:t>
      </w:r>
      <w:proofErr w:type="spellStart"/>
      <w:r w:rsidRPr="004A433E">
        <w:rPr>
          <w:rFonts w:ascii="Arial" w:eastAsia="Arial" w:hAnsi="Arial" w:cs="Arial"/>
          <w:i/>
          <w:iCs/>
          <w:sz w:val="24"/>
          <w:szCs w:val="24"/>
          <w:lang w:val="fr-CA"/>
        </w:rPr>
        <w:t>Gladue</w:t>
      </w:r>
      <w:proofErr w:type="spellEnd"/>
      <w:r w:rsidRPr="004A433E">
        <w:rPr>
          <w:rFonts w:ascii="Arial" w:eastAsia="Arial" w:hAnsi="Arial" w:cs="Arial"/>
          <w:sz w:val="24"/>
          <w:szCs w:val="24"/>
          <w:lang w:val="fr-CA"/>
        </w:rPr>
        <w:t xml:space="preserve"> oblige les juges de première instance à tenir compte de tous les facteurs liés aux antécédents des délinquants autochtones. C'est ce qui ressort clairement de la décision de la Cour suprême selon laquelle les délinquants n'ont pas à démontrer un lien de causalité direct entre les séquelles des pensionnats et la perpétration d'infractions.</w:t>
      </w:r>
      <w:r w:rsidRPr="004A433E">
        <w:rPr>
          <w:rFonts w:ascii="Arial" w:eastAsia="Arial" w:hAnsi="Arial" w:cs="Arial"/>
          <w:sz w:val="24"/>
          <w:szCs w:val="24"/>
          <w:vertAlign w:val="superscript"/>
          <w:lang w:val="fr-CA"/>
        </w:rPr>
        <w:footnoteReference w:id="6"/>
      </w:r>
    </w:p>
    <w:p w14:paraId="6633349E" w14:textId="77777777" w:rsidR="000604CD" w:rsidRPr="004A433E" w:rsidRDefault="000604CD">
      <w:pPr>
        <w:spacing w:line="480" w:lineRule="auto"/>
        <w:jc w:val="both"/>
        <w:rPr>
          <w:rFonts w:ascii="Arial" w:eastAsia="Arial" w:hAnsi="Arial" w:cs="Arial"/>
          <w:color w:val="0000FF"/>
          <w:sz w:val="24"/>
          <w:szCs w:val="24"/>
          <w:lang w:val="fr-CA"/>
        </w:rPr>
      </w:pPr>
    </w:p>
    <w:p w14:paraId="0000000D" w14:textId="77777777" w:rsidR="008B3223" w:rsidRPr="004A433E" w:rsidRDefault="00772BAC">
      <w:pPr>
        <w:spacing w:line="480" w:lineRule="auto"/>
        <w:jc w:val="both"/>
        <w:rPr>
          <w:rFonts w:ascii="Arial" w:eastAsia="Arial" w:hAnsi="Arial" w:cs="Arial"/>
          <w:b/>
          <w:sz w:val="24"/>
          <w:szCs w:val="24"/>
          <w:u w:val="single"/>
          <w:lang w:val="fr-CA"/>
        </w:rPr>
      </w:pPr>
      <w:r w:rsidRPr="004A433E">
        <w:rPr>
          <w:rFonts w:ascii="Arial" w:eastAsia="Arial" w:hAnsi="Arial" w:cs="Arial"/>
          <w:b/>
          <w:sz w:val="24"/>
          <w:szCs w:val="24"/>
          <w:u w:val="single"/>
          <w:lang w:val="fr-CA"/>
        </w:rPr>
        <w:t xml:space="preserve">Informations sur </w:t>
      </w:r>
      <w:proofErr w:type="spellStart"/>
      <w:r w:rsidRPr="004A433E">
        <w:rPr>
          <w:rFonts w:ascii="Arial" w:eastAsia="Arial" w:hAnsi="Arial" w:cs="Arial"/>
          <w:b/>
          <w:sz w:val="24"/>
          <w:szCs w:val="24"/>
          <w:u w:val="single"/>
          <w:lang w:val="fr-CA"/>
        </w:rPr>
        <w:t>Gladue</w:t>
      </w:r>
      <w:proofErr w:type="spellEnd"/>
    </w:p>
    <w:p w14:paraId="0000000E" w14:textId="77777777" w:rsidR="008B3223" w:rsidRPr="004A433E" w:rsidRDefault="00772BAC">
      <w:pPr>
        <w:spacing w:line="480" w:lineRule="auto"/>
        <w:jc w:val="both"/>
        <w:rPr>
          <w:rFonts w:ascii="Arial" w:eastAsia="Arial" w:hAnsi="Arial" w:cs="Arial"/>
          <w:color w:val="0000FF"/>
          <w:sz w:val="24"/>
          <w:szCs w:val="24"/>
          <w:lang w:val="fr-CA"/>
        </w:rPr>
      </w:pPr>
      <w:r w:rsidRPr="004A433E">
        <w:rPr>
          <w:rFonts w:ascii="Arial" w:eastAsia="Arial" w:hAnsi="Arial" w:cs="Arial"/>
          <w:sz w:val="24"/>
          <w:szCs w:val="24"/>
          <w:lang w:val="fr-CA"/>
        </w:rPr>
        <w:t xml:space="preserve">Une des préoccupations est la nature et l'étendu des évaluations </w:t>
      </w:r>
      <w:proofErr w:type="spellStart"/>
      <w:r w:rsidRPr="004A433E">
        <w:rPr>
          <w:rFonts w:ascii="Arial" w:eastAsia="Arial" w:hAnsi="Arial" w:cs="Arial"/>
          <w:sz w:val="24"/>
          <w:szCs w:val="24"/>
          <w:lang w:val="fr-CA"/>
        </w:rPr>
        <w:t>Gladue</w:t>
      </w:r>
      <w:proofErr w:type="spellEnd"/>
      <w:r w:rsidRPr="004A433E">
        <w:rPr>
          <w:rFonts w:ascii="Arial" w:eastAsia="Arial" w:hAnsi="Arial" w:cs="Arial"/>
          <w:sz w:val="24"/>
          <w:szCs w:val="24"/>
          <w:lang w:val="fr-CA"/>
        </w:rPr>
        <w:t xml:space="preserve"> ou des rapports </w:t>
      </w:r>
      <w:proofErr w:type="spellStart"/>
      <w:r w:rsidRPr="004A433E">
        <w:rPr>
          <w:rFonts w:ascii="Arial" w:eastAsia="Arial" w:hAnsi="Arial" w:cs="Arial"/>
          <w:sz w:val="24"/>
          <w:szCs w:val="24"/>
          <w:lang w:val="fr-CA"/>
        </w:rPr>
        <w:t>Gladue</w:t>
      </w:r>
      <w:proofErr w:type="spellEnd"/>
      <w:r w:rsidRPr="004A433E">
        <w:rPr>
          <w:rFonts w:ascii="Arial" w:eastAsia="Arial" w:hAnsi="Arial" w:cs="Arial"/>
          <w:sz w:val="24"/>
          <w:szCs w:val="24"/>
          <w:lang w:val="fr-CA"/>
        </w:rPr>
        <w:t xml:space="preserve"> présentés aux tribunaux.</w:t>
      </w:r>
    </w:p>
    <w:p w14:paraId="0000000F" w14:textId="77777777" w:rsidR="008B3223" w:rsidRPr="004A433E" w:rsidRDefault="00772BAC">
      <w:pPr>
        <w:spacing w:line="480" w:lineRule="auto"/>
        <w:jc w:val="both"/>
        <w:rPr>
          <w:rFonts w:ascii="Arial" w:eastAsia="Arial" w:hAnsi="Arial" w:cs="Arial"/>
          <w:sz w:val="24"/>
          <w:szCs w:val="24"/>
          <w:lang w:val="fr-CA"/>
        </w:rPr>
      </w:pPr>
      <w:r w:rsidRPr="004A433E">
        <w:rPr>
          <w:rFonts w:ascii="Arial" w:eastAsia="Arial" w:hAnsi="Arial" w:cs="Arial"/>
          <w:sz w:val="24"/>
          <w:szCs w:val="24"/>
          <w:lang w:val="fr-CA"/>
        </w:rPr>
        <w:t xml:space="preserve">Dans certaines juridictions, on a introduit des rapports </w:t>
      </w:r>
      <w:proofErr w:type="spellStart"/>
      <w:r w:rsidRPr="004A433E">
        <w:rPr>
          <w:rFonts w:ascii="Arial" w:eastAsia="Arial" w:hAnsi="Arial" w:cs="Arial"/>
          <w:sz w:val="24"/>
          <w:szCs w:val="24"/>
          <w:lang w:val="fr-CA"/>
        </w:rPr>
        <w:t>présentenciels</w:t>
      </w:r>
      <w:proofErr w:type="spellEnd"/>
      <w:r w:rsidRPr="004A433E">
        <w:rPr>
          <w:rFonts w:ascii="Arial" w:eastAsia="Arial" w:hAnsi="Arial" w:cs="Arial"/>
          <w:sz w:val="24"/>
          <w:szCs w:val="24"/>
          <w:lang w:val="fr-CA"/>
        </w:rPr>
        <w:t xml:space="preserve"> ou des rapports </w:t>
      </w:r>
      <w:proofErr w:type="spellStart"/>
      <w:r w:rsidRPr="004A433E">
        <w:rPr>
          <w:rFonts w:ascii="Arial" w:eastAsia="Arial" w:hAnsi="Arial" w:cs="Arial"/>
          <w:sz w:val="24"/>
          <w:szCs w:val="24"/>
          <w:lang w:val="fr-CA"/>
        </w:rPr>
        <w:t>Gladue</w:t>
      </w:r>
      <w:proofErr w:type="spellEnd"/>
      <w:r w:rsidRPr="004A433E">
        <w:rPr>
          <w:rFonts w:ascii="Arial" w:eastAsia="Arial" w:hAnsi="Arial" w:cs="Arial"/>
          <w:sz w:val="24"/>
          <w:szCs w:val="24"/>
          <w:lang w:val="fr-CA"/>
        </w:rPr>
        <w:t xml:space="preserve"> plus complets qui fournissent au juge qui prononce la peine des renseignements contextuels sur les antécédents des délinquants autochtones. La production de ces rapports n'a pas été sans difficulté ni controverse. En 2012, le Globe and Mail en a fait état :</w:t>
      </w:r>
    </w:p>
    <w:p w14:paraId="00000010" w14:textId="2751EE8C" w:rsidR="008B3223" w:rsidRPr="004A433E" w:rsidRDefault="00772BAC">
      <w:pPr>
        <w:spacing w:line="480" w:lineRule="auto"/>
        <w:ind w:left="900" w:right="900"/>
        <w:jc w:val="both"/>
        <w:rPr>
          <w:rFonts w:ascii="Arial" w:eastAsia="Arial" w:hAnsi="Arial" w:cs="Arial"/>
          <w:sz w:val="24"/>
          <w:szCs w:val="24"/>
          <w:lang w:val="fr-CA"/>
        </w:rPr>
      </w:pPr>
      <w:r w:rsidRPr="004A433E">
        <w:rPr>
          <w:rFonts w:ascii="Arial" w:eastAsia="Arial" w:hAnsi="Arial" w:cs="Arial"/>
          <w:sz w:val="24"/>
          <w:szCs w:val="24"/>
          <w:lang w:val="fr-CA"/>
        </w:rPr>
        <w:t>La Saskatchewan, l'Alberta et le Manitoba ont à peine commencé à produire des rapports [</w:t>
      </w:r>
      <w:proofErr w:type="spellStart"/>
      <w:r w:rsidRPr="004A433E">
        <w:rPr>
          <w:rFonts w:ascii="Arial" w:eastAsia="Arial" w:hAnsi="Arial" w:cs="Arial"/>
          <w:sz w:val="24"/>
          <w:szCs w:val="24"/>
          <w:lang w:val="fr-CA"/>
        </w:rPr>
        <w:t>Gladue</w:t>
      </w:r>
      <w:proofErr w:type="spellEnd"/>
      <w:r w:rsidRPr="004A433E">
        <w:rPr>
          <w:rFonts w:ascii="Arial" w:eastAsia="Arial" w:hAnsi="Arial" w:cs="Arial"/>
          <w:sz w:val="24"/>
          <w:szCs w:val="24"/>
          <w:lang w:val="fr-CA"/>
        </w:rPr>
        <w:t>]. Alors qu'en Alberta, ce nombre est passé de 14 en 2011 à 100 qui sont actuellement en production, la plupart sont préparés par des agents de probation—</w:t>
      </w:r>
      <w:r w:rsidRPr="004A433E">
        <w:rPr>
          <w:rFonts w:ascii="Arial" w:eastAsia="Arial" w:hAnsi="Arial" w:cs="Arial"/>
          <w:sz w:val="24"/>
          <w:szCs w:val="24"/>
          <w:lang w:val="fr-CA"/>
        </w:rPr>
        <w:lastRenderedPageBreak/>
        <w:t xml:space="preserve">qui sont formés pour évaluer les facteurs de risque, mais qui n'ont aucune compréhension particulière de la culture ni de l'histoire autochtone. Au Québec, les rapports </w:t>
      </w:r>
      <w:proofErr w:type="spellStart"/>
      <w:r w:rsidRPr="004A433E">
        <w:rPr>
          <w:rFonts w:ascii="Arial" w:eastAsia="Arial" w:hAnsi="Arial" w:cs="Arial"/>
          <w:sz w:val="24"/>
          <w:szCs w:val="24"/>
          <w:lang w:val="fr-CA"/>
        </w:rPr>
        <w:t>Gladue</w:t>
      </w:r>
      <w:proofErr w:type="spellEnd"/>
      <w:r w:rsidRPr="004A433E">
        <w:rPr>
          <w:rFonts w:ascii="Arial" w:eastAsia="Arial" w:hAnsi="Arial" w:cs="Arial"/>
          <w:sz w:val="24"/>
          <w:szCs w:val="24"/>
          <w:lang w:val="fr-CA"/>
        </w:rPr>
        <w:t xml:space="preserve"> sont presque inconnus. </w:t>
      </w:r>
      <w:r w:rsidRPr="004A433E">
        <w:rPr>
          <w:rFonts w:ascii="Arial" w:eastAsia="Arial" w:hAnsi="Arial" w:cs="Arial"/>
          <w:i/>
          <w:sz w:val="24"/>
          <w:szCs w:val="24"/>
          <w:lang w:val="fr-CA"/>
        </w:rPr>
        <w:t>(</w:t>
      </w:r>
      <w:r w:rsidR="004A433E" w:rsidRPr="004A433E">
        <w:rPr>
          <w:rFonts w:ascii="Arial" w:eastAsia="Arial" w:hAnsi="Arial" w:cs="Arial"/>
          <w:i/>
          <w:sz w:val="24"/>
          <w:szCs w:val="24"/>
          <w:lang w:val="fr-CA"/>
        </w:rPr>
        <w:t>traduction</w:t>
      </w:r>
      <w:r w:rsidRPr="004A433E">
        <w:rPr>
          <w:rFonts w:ascii="Arial" w:eastAsia="Arial" w:hAnsi="Arial" w:cs="Arial"/>
          <w:i/>
          <w:sz w:val="24"/>
          <w:szCs w:val="24"/>
          <w:lang w:val="fr-CA"/>
        </w:rPr>
        <w:t>)</w:t>
      </w:r>
      <w:r w:rsidRPr="004A433E">
        <w:rPr>
          <w:rFonts w:ascii="Arial" w:eastAsia="Arial" w:hAnsi="Arial" w:cs="Arial"/>
          <w:sz w:val="24"/>
          <w:szCs w:val="24"/>
          <w:vertAlign w:val="superscript"/>
          <w:lang w:val="fr-CA"/>
        </w:rPr>
        <w:footnoteReference w:id="7"/>
      </w:r>
    </w:p>
    <w:p w14:paraId="00000011" w14:textId="77777777" w:rsidR="008B3223" w:rsidRPr="004A433E" w:rsidRDefault="00772BAC">
      <w:pPr>
        <w:spacing w:line="480" w:lineRule="auto"/>
        <w:jc w:val="both"/>
        <w:rPr>
          <w:rFonts w:ascii="Arial" w:eastAsia="Arial" w:hAnsi="Arial" w:cs="Arial"/>
          <w:sz w:val="24"/>
          <w:szCs w:val="24"/>
          <w:lang w:val="fr-CA"/>
        </w:rPr>
      </w:pPr>
      <w:r w:rsidRPr="004A433E">
        <w:rPr>
          <w:rFonts w:ascii="Arial" w:eastAsia="Arial" w:hAnsi="Arial" w:cs="Arial"/>
          <w:sz w:val="24"/>
          <w:szCs w:val="24"/>
          <w:lang w:val="fr-CA"/>
        </w:rPr>
        <w:t xml:space="preserve">Bien que le terme Rapport </w:t>
      </w:r>
      <w:proofErr w:type="spellStart"/>
      <w:r w:rsidRPr="004A433E">
        <w:rPr>
          <w:rFonts w:ascii="Arial" w:eastAsia="Arial" w:hAnsi="Arial" w:cs="Arial"/>
          <w:sz w:val="24"/>
          <w:szCs w:val="24"/>
          <w:lang w:val="fr-CA"/>
        </w:rPr>
        <w:t>Gladue</w:t>
      </w:r>
      <w:proofErr w:type="spellEnd"/>
      <w:r w:rsidRPr="004A433E">
        <w:rPr>
          <w:rFonts w:ascii="Arial" w:eastAsia="Arial" w:hAnsi="Arial" w:cs="Arial"/>
          <w:sz w:val="24"/>
          <w:szCs w:val="24"/>
          <w:lang w:val="fr-CA"/>
        </w:rPr>
        <w:t xml:space="preserve"> soit maintenant entré dans le lexique juridique au Canada, il n'existe aucun modèle précis pour ces rapports, ni de façon précise de les demander.</w:t>
      </w:r>
      <w:r w:rsidRPr="004A433E">
        <w:rPr>
          <w:rFonts w:ascii="Arial" w:eastAsia="Arial" w:hAnsi="Arial" w:cs="Arial"/>
          <w:sz w:val="24"/>
          <w:szCs w:val="24"/>
          <w:vertAlign w:val="superscript"/>
          <w:lang w:val="fr-CA"/>
        </w:rPr>
        <w:footnoteReference w:id="8"/>
      </w:r>
    </w:p>
    <w:p w14:paraId="00000012" w14:textId="77777777" w:rsidR="008B3223" w:rsidRPr="004A433E" w:rsidRDefault="00772BAC">
      <w:pPr>
        <w:spacing w:line="480" w:lineRule="auto"/>
        <w:jc w:val="both"/>
        <w:rPr>
          <w:rFonts w:ascii="Arial" w:eastAsia="Arial" w:hAnsi="Arial" w:cs="Arial"/>
          <w:sz w:val="24"/>
          <w:szCs w:val="24"/>
          <w:lang w:val="fr-CA"/>
        </w:rPr>
      </w:pPr>
      <w:r w:rsidRPr="004A433E">
        <w:rPr>
          <w:rFonts w:ascii="Arial" w:eastAsia="Arial" w:hAnsi="Arial" w:cs="Arial"/>
          <w:sz w:val="24"/>
          <w:szCs w:val="24"/>
          <w:lang w:val="fr-CA"/>
        </w:rPr>
        <w:t xml:space="preserve">Contrairement aux rapports </w:t>
      </w:r>
      <w:proofErr w:type="spellStart"/>
      <w:r w:rsidRPr="004A433E">
        <w:rPr>
          <w:rFonts w:ascii="Arial" w:eastAsia="Arial" w:hAnsi="Arial" w:cs="Arial"/>
          <w:sz w:val="24"/>
          <w:szCs w:val="24"/>
          <w:lang w:val="fr-CA"/>
        </w:rPr>
        <w:t>présentenciels</w:t>
      </w:r>
      <w:proofErr w:type="spellEnd"/>
      <w:r w:rsidRPr="004A433E">
        <w:rPr>
          <w:rFonts w:ascii="Arial" w:eastAsia="Arial" w:hAnsi="Arial" w:cs="Arial"/>
          <w:sz w:val="24"/>
          <w:szCs w:val="24"/>
          <w:lang w:val="fr-CA"/>
        </w:rPr>
        <w:t xml:space="preserve">, aucune disposition du Code criminel n’accorde expressément au juge d‘ordonner la production d'un tel rapport [...] bien qu'il soit largement reconnu que les rapports </w:t>
      </w:r>
      <w:proofErr w:type="spellStart"/>
      <w:r w:rsidRPr="004A433E">
        <w:rPr>
          <w:rFonts w:ascii="Arial" w:eastAsia="Arial" w:hAnsi="Arial" w:cs="Arial"/>
          <w:sz w:val="24"/>
          <w:szCs w:val="24"/>
          <w:lang w:val="fr-CA"/>
        </w:rPr>
        <w:t>Gladue</w:t>
      </w:r>
      <w:proofErr w:type="spellEnd"/>
      <w:r w:rsidRPr="004A433E">
        <w:rPr>
          <w:rFonts w:ascii="Arial" w:eastAsia="Arial" w:hAnsi="Arial" w:cs="Arial"/>
          <w:sz w:val="24"/>
          <w:szCs w:val="24"/>
          <w:lang w:val="fr-CA"/>
        </w:rPr>
        <w:t xml:space="preserve"> remplissent une fonction importante au moment de la détermination de la peine, la disponibilité de ces rapports dépend du </w:t>
      </w:r>
      <w:r w:rsidRPr="004A433E">
        <w:rPr>
          <w:rFonts w:ascii="Arial" w:eastAsia="Arial" w:hAnsi="Arial" w:cs="Arial"/>
          <w:sz w:val="24"/>
          <w:szCs w:val="24"/>
          <w:lang w:val="fr-CA"/>
        </w:rPr>
        <w:lastRenderedPageBreak/>
        <w:t xml:space="preserve">mécanisme de financement particulier qui existe ou non dans chaque province et territoire. La capacité d'obtenir un rapport </w:t>
      </w:r>
      <w:proofErr w:type="spellStart"/>
      <w:r w:rsidRPr="004A433E">
        <w:rPr>
          <w:rFonts w:ascii="Arial" w:eastAsia="Arial" w:hAnsi="Arial" w:cs="Arial"/>
          <w:sz w:val="24"/>
          <w:szCs w:val="24"/>
          <w:lang w:val="fr-CA"/>
        </w:rPr>
        <w:t>Gladue</w:t>
      </w:r>
      <w:proofErr w:type="spellEnd"/>
      <w:r w:rsidRPr="004A433E">
        <w:rPr>
          <w:rFonts w:ascii="Arial" w:eastAsia="Arial" w:hAnsi="Arial" w:cs="Arial"/>
          <w:sz w:val="24"/>
          <w:szCs w:val="24"/>
          <w:lang w:val="fr-CA"/>
        </w:rPr>
        <w:t xml:space="preserve"> pour un délinquant autochtone n'est pas une question de besoin, mais plutôt une question de ressources disponibles pour la production de ces rapports.</w:t>
      </w:r>
      <w:r w:rsidRPr="004A433E">
        <w:rPr>
          <w:rFonts w:ascii="Arial" w:eastAsia="Arial" w:hAnsi="Arial" w:cs="Arial"/>
          <w:sz w:val="24"/>
          <w:szCs w:val="24"/>
          <w:vertAlign w:val="superscript"/>
          <w:lang w:val="fr-CA"/>
        </w:rPr>
        <w:footnoteReference w:id="9"/>
      </w:r>
    </w:p>
    <w:p w14:paraId="00000013" w14:textId="6BDDB472" w:rsidR="008B3223" w:rsidRDefault="00772BAC">
      <w:pPr>
        <w:spacing w:line="480" w:lineRule="auto"/>
        <w:jc w:val="both"/>
        <w:rPr>
          <w:rFonts w:ascii="Arial" w:eastAsia="Arial" w:hAnsi="Arial" w:cs="Arial"/>
          <w:i/>
          <w:sz w:val="24"/>
          <w:szCs w:val="24"/>
          <w:lang w:val="fr-CA"/>
        </w:rPr>
      </w:pPr>
      <w:proofErr w:type="spellStart"/>
      <w:r w:rsidRPr="004A433E">
        <w:rPr>
          <w:rFonts w:ascii="Arial" w:eastAsia="Arial" w:hAnsi="Arial" w:cs="Arial"/>
          <w:sz w:val="24"/>
          <w:szCs w:val="24"/>
          <w:lang w:val="fr-CA"/>
        </w:rPr>
        <w:t>Rudin</w:t>
      </w:r>
      <w:proofErr w:type="spellEnd"/>
      <w:r w:rsidRPr="004A433E">
        <w:rPr>
          <w:rFonts w:ascii="Arial" w:eastAsia="Arial" w:hAnsi="Arial" w:cs="Arial"/>
          <w:sz w:val="24"/>
          <w:szCs w:val="24"/>
          <w:lang w:val="fr-CA"/>
        </w:rPr>
        <w:t xml:space="preserve"> souligne que « décrire la disponibilité des rapports </w:t>
      </w:r>
      <w:proofErr w:type="spellStart"/>
      <w:r w:rsidRPr="004A433E">
        <w:rPr>
          <w:rFonts w:ascii="Arial" w:eastAsia="Arial" w:hAnsi="Arial" w:cs="Arial"/>
          <w:sz w:val="24"/>
          <w:szCs w:val="24"/>
          <w:lang w:val="fr-CA"/>
        </w:rPr>
        <w:t>Gladue</w:t>
      </w:r>
      <w:proofErr w:type="spellEnd"/>
      <w:r w:rsidRPr="004A433E">
        <w:rPr>
          <w:rFonts w:ascii="Arial" w:eastAsia="Arial" w:hAnsi="Arial" w:cs="Arial"/>
          <w:sz w:val="24"/>
          <w:szCs w:val="24"/>
          <w:lang w:val="fr-CA"/>
        </w:rPr>
        <w:t xml:space="preserve"> dans tout le pays comme un patchwork rendrait un mauvais service aux fabricants de courtepointes. Même les </w:t>
      </w:r>
      <w:r w:rsidR="004A433E" w:rsidRPr="004A433E">
        <w:rPr>
          <w:rFonts w:ascii="Arial" w:eastAsia="Arial" w:hAnsi="Arial" w:cs="Arial"/>
          <w:sz w:val="24"/>
          <w:szCs w:val="24"/>
          <w:lang w:val="fr-CA"/>
        </w:rPr>
        <w:t xml:space="preserve">courtepointes </w:t>
      </w:r>
      <w:r w:rsidRPr="004A433E">
        <w:rPr>
          <w:rFonts w:ascii="Arial" w:eastAsia="Arial" w:hAnsi="Arial" w:cs="Arial"/>
          <w:sz w:val="24"/>
          <w:szCs w:val="24"/>
          <w:lang w:val="fr-CA"/>
        </w:rPr>
        <w:t xml:space="preserve">n’ont pas de trous énormes ». </w:t>
      </w:r>
      <w:r w:rsidRPr="004A433E">
        <w:rPr>
          <w:rFonts w:ascii="Arial" w:eastAsia="Arial" w:hAnsi="Arial" w:cs="Arial"/>
          <w:i/>
          <w:sz w:val="24"/>
          <w:szCs w:val="24"/>
          <w:lang w:val="fr-CA"/>
        </w:rPr>
        <w:t>(</w:t>
      </w:r>
      <w:r w:rsidR="004A433E" w:rsidRPr="004A433E">
        <w:rPr>
          <w:rFonts w:ascii="Arial" w:eastAsia="Arial" w:hAnsi="Arial" w:cs="Arial"/>
          <w:i/>
          <w:sz w:val="24"/>
          <w:szCs w:val="24"/>
          <w:lang w:val="fr-CA"/>
        </w:rPr>
        <w:t>traduction)</w:t>
      </w:r>
      <w:r w:rsidRPr="004A433E">
        <w:rPr>
          <w:rFonts w:ascii="Arial" w:eastAsia="Arial" w:hAnsi="Arial" w:cs="Arial"/>
          <w:sz w:val="24"/>
          <w:szCs w:val="24"/>
          <w:vertAlign w:val="superscript"/>
          <w:lang w:val="fr-CA"/>
        </w:rPr>
        <w:footnoteReference w:id="10"/>
      </w:r>
    </w:p>
    <w:p w14:paraId="336075CC" w14:textId="77777777" w:rsidR="00D4428F" w:rsidRPr="004A433E" w:rsidRDefault="00D4428F">
      <w:pPr>
        <w:spacing w:line="480" w:lineRule="auto"/>
        <w:jc w:val="both"/>
        <w:rPr>
          <w:rFonts w:ascii="Arial" w:eastAsia="Arial" w:hAnsi="Arial" w:cs="Arial"/>
          <w:b/>
          <w:color w:val="0000FF"/>
          <w:sz w:val="24"/>
          <w:szCs w:val="24"/>
          <w:u w:val="single"/>
          <w:lang w:val="fr-CA"/>
        </w:rPr>
      </w:pPr>
      <w:bookmarkStart w:id="0" w:name="_GoBack"/>
      <w:bookmarkEnd w:id="0"/>
    </w:p>
    <w:p w14:paraId="00000014" w14:textId="7AE54973" w:rsidR="008B3223" w:rsidRPr="004A433E" w:rsidRDefault="00772BAC">
      <w:pPr>
        <w:spacing w:line="480" w:lineRule="auto"/>
        <w:jc w:val="both"/>
        <w:rPr>
          <w:rFonts w:ascii="Arial" w:eastAsia="Arial" w:hAnsi="Arial" w:cs="Arial"/>
          <w:b/>
          <w:sz w:val="24"/>
          <w:szCs w:val="24"/>
          <w:u w:val="single"/>
          <w:lang w:val="fr-CA"/>
        </w:rPr>
      </w:pPr>
      <w:r w:rsidRPr="004A433E">
        <w:rPr>
          <w:rFonts w:ascii="Arial" w:eastAsia="Arial" w:hAnsi="Arial" w:cs="Arial"/>
          <w:b/>
          <w:sz w:val="24"/>
          <w:szCs w:val="24"/>
          <w:u w:val="single"/>
          <w:lang w:val="fr-CA"/>
        </w:rPr>
        <w:t xml:space="preserve">Question pour le </w:t>
      </w:r>
      <w:r w:rsidR="004A433E" w:rsidRPr="004A433E">
        <w:rPr>
          <w:rFonts w:ascii="Arial" w:eastAsia="Arial" w:hAnsi="Arial" w:cs="Arial"/>
          <w:b/>
          <w:sz w:val="24"/>
          <w:szCs w:val="24"/>
          <w:u w:val="single"/>
          <w:lang w:val="fr-CA"/>
        </w:rPr>
        <w:t xml:space="preserve">concours de plaidoirie </w:t>
      </w:r>
      <w:proofErr w:type="spellStart"/>
      <w:r w:rsidRPr="004A433E">
        <w:rPr>
          <w:rFonts w:ascii="Arial" w:eastAsia="Arial" w:hAnsi="Arial" w:cs="Arial"/>
          <w:b/>
          <w:sz w:val="24"/>
          <w:szCs w:val="24"/>
          <w:u w:val="single"/>
          <w:lang w:val="fr-CA"/>
        </w:rPr>
        <w:t>Kawaskimhon</w:t>
      </w:r>
      <w:proofErr w:type="spellEnd"/>
    </w:p>
    <w:p w14:paraId="00000015" w14:textId="77777777" w:rsidR="008B3223" w:rsidRPr="004A433E" w:rsidRDefault="00772BAC">
      <w:pPr>
        <w:spacing w:line="480" w:lineRule="auto"/>
        <w:jc w:val="both"/>
        <w:rPr>
          <w:rFonts w:ascii="Arial" w:eastAsia="Arial" w:hAnsi="Arial" w:cs="Arial"/>
          <w:sz w:val="24"/>
          <w:szCs w:val="24"/>
          <w:lang w:val="fr-CA"/>
        </w:rPr>
      </w:pPr>
      <w:r w:rsidRPr="004A433E">
        <w:rPr>
          <w:rFonts w:ascii="Arial" w:eastAsia="Arial" w:hAnsi="Arial" w:cs="Arial"/>
          <w:sz w:val="24"/>
          <w:szCs w:val="24"/>
          <w:lang w:val="fr-CA"/>
        </w:rPr>
        <w:t>Les procureurs jouent un rôle crucial dans le système de justice pénale.  Afin de mettre en œuvre l'arrêt</w:t>
      </w:r>
      <w:r w:rsidRPr="004A433E">
        <w:rPr>
          <w:rFonts w:ascii="Arial" w:eastAsia="Arial" w:hAnsi="Arial" w:cs="Arial"/>
          <w:i/>
          <w:iCs/>
          <w:sz w:val="24"/>
          <w:szCs w:val="24"/>
          <w:lang w:val="fr-CA"/>
        </w:rPr>
        <w:t xml:space="preserve"> </w:t>
      </w:r>
      <w:proofErr w:type="spellStart"/>
      <w:r w:rsidRPr="004A433E">
        <w:rPr>
          <w:rFonts w:ascii="Arial" w:eastAsia="Arial" w:hAnsi="Arial" w:cs="Arial"/>
          <w:i/>
          <w:iCs/>
          <w:sz w:val="24"/>
          <w:szCs w:val="24"/>
          <w:lang w:val="fr-CA"/>
        </w:rPr>
        <w:t>Gladue</w:t>
      </w:r>
      <w:proofErr w:type="spellEnd"/>
      <w:r w:rsidRPr="004A433E">
        <w:rPr>
          <w:rFonts w:ascii="Arial" w:eastAsia="Arial" w:hAnsi="Arial" w:cs="Arial"/>
          <w:sz w:val="24"/>
          <w:szCs w:val="24"/>
          <w:lang w:val="fr-CA"/>
        </w:rPr>
        <w:t xml:space="preserve"> (et pour les fins de ce débat), le Manitoba a décidé de créer une politique visant à guider </w:t>
      </w:r>
      <w:r w:rsidRPr="004A433E">
        <w:rPr>
          <w:rFonts w:ascii="Arial" w:eastAsia="Arial" w:hAnsi="Arial" w:cs="Arial"/>
          <w:sz w:val="24"/>
          <w:szCs w:val="24"/>
          <w:lang w:val="fr-CA"/>
        </w:rPr>
        <w:lastRenderedPageBreak/>
        <w:t xml:space="preserve">les procureurs de la Couronne dans la mise en œuvre de l'arrêt </w:t>
      </w:r>
      <w:proofErr w:type="spellStart"/>
      <w:r w:rsidRPr="004A433E">
        <w:rPr>
          <w:rFonts w:ascii="Arial" w:eastAsia="Arial" w:hAnsi="Arial" w:cs="Arial"/>
          <w:i/>
          <w:iCs/>
          <w:sz w:val="24"/>
          <w:szCs w:val="24"/>
          <w:lang w:val="fr-CA"/>
        </w:rPr>
        <w:t>Gladue</w:t>
      </w:r>
      <w:proofErr w:type="spellEnd"/>
      <w:r w:rsidRPr="004A433E">
        <w:rPr>
          <w:rFonts w:ascii="Arial" w:eastAsia="Arial" w:hAnsi="Arial" w:cs="Arial"/>
          <w:sz w:val="24"/>
          <w:szCs w:val="24"/>
          <w:lang w:val="fr-CA"/>
        </w:rPr>
        <w:t xml:space="preserve">.  Le Manitoba voudrait avoir une politique qui guide non seulement la détermination de la peine, mais qui guiderait aussi les procureurs dans tous les aspects de leurs engagements auprès des accusés autochtones, à partir de la mise en liberté sous caution.  Le Manitoba souhaite impliquer les intervenants dans l’élaboration d’une politique viserait à respecter l'esprit et l'intention de l'arrêt </w:t>
      </w:r>
      <w:proofErr w:type="spellStart"/>
      <w:r w:rsidRPr="004A433E">
        <w:rPr>
          <w:rFonts w:ascii="Arial" w:eastAsia="Arial" w:hAnsi="Arial" w:cs="Arial"/>
          <w:i/>
          <w:iCs/>
          <w:sz w:val="24"/>
          <w:szCs w:val="24"/>
          <w:lang w:val="fr-CA"/>
        </w:rPr>
        <w:t>Gladue</w:t>
      </w:r>
      <w:proofErr w:type="spellEnd"/>
      <w:r w:rsidRPr="004A433E">
        <w:rPr>
          <w:rFonts w:ascii="Arial" w:eastAsia="Arial" w:hAnsi="Arial" w:cs="Arial"/>
          <w:sz w:val="24"/>
          <w:szCs w:val="24"/>
          <w:lang w:val="fr-CA"/>
        </w:rPr>
        <w:t xml:space="preserve">. </w:t>
      </w:r>
    </w:p>
    <w:p w14:paraId="00000016" w14:textId="4AA3FDA5" w:rsidR="008B3223" w:rsidRPr="004A433E" w:rsidRDefault="00772BAC">
      <w:pPr>
        <w:spacing w:line="480" w:lineRule="auto"/>
        <w:jc w:val="both"/>
        <w:rPr>
          <w:rFonts w:ascii="Arial" w:eastAsia="Arial" w:hAnsi="Arial" w:cs="Arial"/>
          <w:sz w:val="24"/>
          <w:szCs w:val="24"/>
          <w:lang w:val="fr-CA"/>
        </w:rPr>
      </w:pPr>
      <w:r w:rsidRPr="004A433E">
        <w:rPr>
          <w:rFonts w:ascii="Arial" w:eastAsia="Arial" w:hAnsi="Arial" w:cs="Arial"/>
          <w:sz w:val="24"/>
          <w:szCs w:val="24"/>
          <w:lang w:val="fr-CA"/>
        </w:rPr>
        <w:t xml:space="preserve">Lors du </w:t>
      </w:r>
      <w:r w:rsidR="004A433E" w:rsidRPr="004A433E">
        <w:rPr>
          <w:rFonts w:ascii="Arial" w:eastAsia="Arial" w:hAnsi="Arial" w:cs="Arial"/>
          <w:sz w:val="24"/>
          <w:szCs w:val="24"/>
          <w:lang w:val="fr-CA"/>
        </w:rPr>
        <w:t>concours de plaidoirie</w:t>
      </w:r>
      <w:r w:rsidRPr="004A433E">
        <w:rPr>
          <w:rFonts w:ascii="Arial" w:eastAsia="Arial" w:hAnsi="Arial" w:cs="Arial"/>
          <w:sz w:val="24"/>
          <w:szCs w:val="24"/>
          <w:lang w:val="fr-CA"/>
        </w:rPr>
        <w:t>, on vous demande d'élaborer une politique de la Couronne (ou les principes fondamentaux d'une telle politique) qui guidera tous les procureurs de la Couronne en vue de régler la question de la surreprésentation des Autochtones en prison.</w:t>
      </w:r>
    </w:p>
    <w:p w14:paraId="00000017" w14:textId="77777777" w:rsidR="008B3223" w:rsidRPr="004A433E" w:rsidRDefault="00772BAC">
      <w:pPr>
        <w:spacing w:line="480" w:lineRule="auto"/>
        <w:jc w:val="both"/>
        <w:rPr>
          <w:rFonts w:ascii="Arial" w:eastAsia="Arial" w:hAnsi="Arial" w:cs="Arial"/>
          <w:sz w:val="24"/>
          <w:szCs w:val="24"/>
          <w:lang w:val="fr-CA"/>
        </w:rPr>
      </w:pPr>
      <w:r w:rsidRPr="004A433E">
        <w:rPr>
          <w:rFonts w:ascii="Arial" w:eastAsia="Arial" w:hAnsi="Arial" w:cs="Arial"/>
          <w:sz w:val="24"/>
          <w:szCs w:val="24"/>
          <w:lang w:val="fr-CA"/>
        </w:rPr>
        <w:t>On vous demandera d'élaborer les principes en vous appuyant sur la perspective des intérêts du client qui vous a été assigné.  La liste des clients sera distribuée séparément.</w:t>
      </w:r>
    </w:p>
    <w:sectPr w:rsidR="008B3223" w:rsidRPr="004A433E" w:rsidSect="00926DA0">
      <w:headerReference w:type="default" r:id="rId12"/>
      <w:footerReference w:type="default" r:id="rId13"/>
      <w:pgSz w:w="12240" w:h="15840"/>
      <w:pgMar w:top="1202"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354AB" w14:textId="77777777" w:rsidR="00B67358" w:rsidRDefault="00B67358">
      <w:pPr>
        <w:spacing w:after="0" w:line="240" w:lineRule="auto"/>
      </w:pPr>
      <w:r>
        <w:separator/>
      </w:r>
    </w:p>
  </w:endnote>
  <w:endnote w:type="continuationSeparator" w:id="0">
    <w:p w14:paraId="612E38A1" w14:textId="77777777" w:rsidR="00B67358" w:rsidRDefault="00B6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1FEEC142" w:rsidR="008B3223" w:rsidRDefault="00772BA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4428F">
      <w:rPr>
        <w:noProof/>
        <w:color w:val="000000"/>
      </w:rPr>
      <w:t>6</w:t>
    </w:r>
    <w:r>
      <w:rPr>
        <w:color w:val="000000"/>
      </w:rPr>
      <w:fldChar w:fldCharType="end"/>
    </w:r>
  </w:p>
  <w:p w14:paraId="00000019" w14:textId="77777777" w:rsidR="008B3223" w:rsidRDefault="008B322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9AD58" w14:textId="77777777" w:rsidR="00B67358" w:rsidRDefault="00B67358">
      <w:pPr>
        <w:spacing w:after="0" w:line="240" w:lineRule="auto"/>
      </w:pPr>
      <w:r>
        <w:separator/>
      </w:r>
    </w:p>
  </w:footnote>
  <w:footnote w:type="continuationSeparator" w:id="0">
    <w:p w14:paraId="2870F926" w14:textId="77777777" w:rsidR="00B67358" w:rsidRDefault="00B67358">
      <w:pPr>
        <w:spacing w:after="0" w:line="240" w:lineRule="auto"/>
      </w:pPr>
      <w:r>
        <w:continuationSeparator/>
      </w:r>
    </w:p>
  </w:footnote>
  <w:footnote w:id="1">
    <w:p w14:paraId="0000001A" w14:textId="5EC418EF" w:rsidR="008B3223" w:rsidRPr="00E71EC2" w:rsidRDefault="00772BAC">
      <w:pPr>
        <w:spacing w:after="0" w:line="240" w:lineRule="auto"/>
        <w:rPr>
          <w:sz w:val="20"/>
          <w:szCs w:val="20"/>
          <w:lang w:val="fr-CA"/>
        </w:rPr>
      </w:pPr>
      <w:r>
        <w:rPr>
          <w:rStyle w:val="FootnoteReference"/>
        </w:rPr>
        <w:footnoteRef/>
      </w:r>
      <w:r w:rsidRPr="00E71EC2">
        <w:rPr>
          <w:sz w:val="20"/>
          <w:szCs w:val="20"/>
          <w:lang w:val="fr-CA"/>
        </w:rPr>
        <w:t xml:space="preserve"> </w:t>
      </w:r>
      <w:r w:rsidR="00E71EC2" w:rsidRPr="00E71EC2">
        <w:rPr>
          <w:i/>
          <w:sz w:val="20"/>
          <w:szCs w:val="20"/>
          <w:lang w:val="fr-CA"/>
        </w:rPr>
        <w:t xml:space="preserve">R. c. </w:t>
      </w:r>
      <w:proofErr w:type="spellStart"/>
      <w:r w:rsidR="00E71EC2" w:rsidRPr="00E71EC2">
        <w:rPr>
          <w:i/>
          <w:sz w:val="20"/>
          <w:szCs w:val="20"/>
          <w:lang w:val="fr-CA"/>
        </w:rPr>
        <w:t>Gladue</w:t>
      </w:r>
      <w:proofErr w:type="spellEnd"/>
      <w:r w:rsidR="00E71EC2">
        <w:rPr>
          <w:i/>
          <w:sz w:val="20"/>
          <w:szCs w:val="20"/>
          <w:lang w:val="fr-CA"/>
        </w:rPr>
        <w:t>.</w:t>
      </w:r>
      <w:r w:rsidR="00E71EC2" w:rsidRPr="00E71EC2">
        <w:rPr>
          <w:i/>
          <w:sz w:val="20"/>
          <w:szCs w:val="20"/>
          <w:lang w:val="fr-CA"/>
        </w:rPr>
        <w:t xml:space="preserve"> </w:t>
      </w:r>
      <w:r w:rsidR="00E71EC2" w:rsidRPr="00E71EC2">
        <w:rPr>
          <w:iCs/>
          <w:sz w:val="20"/>
          <w:szCs w:val="20"/>
          <w:lang w:val="fr-CA"/>
        </w:rPr>
        <w:t xml:space="preserve">1999 CanLII 679 (CSC), [1999] 1 RCS 688, </w:t>
      </w:r>
      <w:hyperlink r:id="rId1" w:history="1">
        <w:r w:rsidR="00E71EC2" w:rsidRPr="00404B12">
          <w:rPr>
            <w:rStyle w:val="Hyperlink"/>
            <w:iCs/>
            <w:sz w:val="20"/>
            <w:szCs w:val="20"/>
            <w:lang w:val="fr-CA"/>
          </w:rPr>
          <w:t>http://canlii.ca/t/1fqp1</w:t>
        </w:r>
      </w:hyperlink>
      <w:r w:rsidR="00E71EC2">
        <w:rPr>
          <w:iCs/>
          <w:sz w:val="20"/>
          <w:szCs w:val="20"/>
          <w:lang w:val="fr-CA"/>
        </w:rPr>
        <w:t xml:space="preserve">, </w:t>
      </w:r>
      <w:r w:rsidR="00E71EC2" w:rsidRPr="00E71EC2">
        <w:rPr>
          <w:iCs/>
          <w:sz w:val="20"/>
          <w:szCs w:val="20"/>
          <w:lang w:val="fr-CA"/>
        </w:rPr>
        <w:t>consulté le 2020-01-</w:t>
      </w:r>
      <w:r w:rsidR="00E71EC2">
        <w:rPr>
          <w:iCs/>
          <w:sz w:val="20"/>
          <w:szCs w:val="20"/>
          <w:lang w:val="fr-CA"/>
        </w:rPr>
        <w:t>19.</w:t>
      </w:r>
    </w:p>
  </w:footnote>
  <w:footnote w:id="2">
    <w:p w14:paraId="0000001B" w14:textId="3F668EE7" w:rsidR="008B3223" w:rsidRDefault="00772BAC">
      <w:pPr>
        <w:spacing w:after="0" w:line="240" w:lineRule="auto"/>
        <w:rPr>
          <w:sz w:val="20"/>
          <w:szCs w:val="20"/>
        </w:rPr>
      </w:pPr>
      <w:r>
        <w:rPr>
          <w:rStyle w:val="FootnoteReference"/>
        </w:rPr>
        <w:footnoteRef/>
      </w:r>
      <w:r w:rsidR="00BB5447">
        <w:rPr>
          <w:sz w:val="20"/>
          <w:szCs w:val="20"/>
        </w:rPr>
        <w:t xml:space="preserve"> RUDIN,</w:t>
      </w:r>
      <w:r>
        <w:rPr>
          <w:sz w:val="20"/>
          <w:szCs w:val="20"/>
        </w:rPr>
        <w:t xml:space="preserve"> Jonathan</w:t>
      </w:r>
      <w:r w:rsidR="007C29C0">
        <w:rPr>
          <w:sz w:val="20"/>
          <w:szCs w:val="20"/>
        </w:rPr>
        <w:t xml:space="preserve">. </w:t>
      </w:r>
      <w:r w:rsidRPr="007C29C0">
        <w:rPr>
          <w:i/>
          <w:iCs/>
          <w:sz w:val="20"/>
          <w:szCs w:val="20"/>
        </w:rPr>
        <w:t xml:space="preserve">Aboriginal Over-Representation and R. v. Gladue: Where We Were, Where We Are and Where We May </w:t>
      </w:r>
      <w:r w:rsidR="000D443B">
        <w:rPr>
          <w:i/>
          <w:iCs/>
          <w:sz w:val="20"/>
          <w:szCs w:val="20"/>
        </w:rPr>
        <w:t xml:space="preserve">Be </w:t>
      </w:r>
      <w:r w:rsidRPr="007C29C0">
        <w:rPr>
          <w:i/>
          <w:iCs/>
          <w:sz w:val="20"/>
          <w:szCs w:val="20"/>
        </w:rPr>
        <w:t>Going</w:t>
      </w:r>
      <w:r w:rsidR="000D443B">
        <w:rPr>
          <w:sz w:val="20"/>
          <w:szCs w:val="20"/>
        </w:rPr>
        <w:t xml:space="preserve">. </w:t>
      </w:r>
      <w:r>
        <w:rPr>
          <w:sz w:val="20"/>
          <w:szCs w:val="20"/>
        </w:rPr>
        <w:t>40 SCLR: Osgoode’s Annual Constitutional Cases Conference</w:t>
      </w:r>
      <w:r w:rsidR="000D443B">
        <w:rPr>
          <w:sz w:val="20"/>
          <w:szCs w:val="20"/>
        </w:rPr>
        <w:t>, 2008, p.</w:t>
      </w:r>
      <w:r>
        <w:rPr>
          <w:sz w:val="20"/>
          <w:szCs w:val="20"/>
        </w:rPr>
        <w:t xml:space="preserve"> 687</w:t>
      </w:r>
      <w:r w:rsidR="000F48CC">
        <w:rPr>
          <w:sz w:val="20"/>
          <w:szCs w:val="20"/>
        </w:rPr>
        <w:t>.</w:t>
      </w:r>
    </w:p>
  </w:footnote>
  <w:footnote w:id="3">
    <w:p w14:paraId="00000024" w14:textId="7C89ABB3" w:rsidR="008B3223" w:rsidRDefault="00772BAC">
      <w:pPr>
        <w:spacing w:after="0" w:line="240" w:lineRule="auto"/>
        <w:rPr>
          <w:sz w:val="20"/>
          <w:szCs w:val="20"/>
        </w:rPr>
      </w:pPr>
      <w:r>
        <w:rPr>
          <w:rStyle w:val="FootnoteReference"/>
        </w:rPr>
        <w:footnoteRef/>
      </w:r>
      <w:r w:rsidRPr="000F48CC">
        <w:rPr>
          <w:sz w:val="20"/>
          <w:szCs w:val="20"/>
          <w:lang w:val="en-US"/>
        </w:rPr>
        <w:t xml:space="preserve"> </w:t>
      </w:r>
      <w:r w:rsidR="007C29C0" w:rsidRPr="000F48CC">
        <w:rPr>
          <w:sz w:val="20"/>
          <w:szCs w:val="20"/>
          <w:lang w:val="en-US"/>
        </w:rPr>
        <w:t xml:space="preserve">HAMILTON, </w:t>
      </w:r>
      <w:r w:rsidRPr="000F48CC">
        <w:rPr>
          <w:sz w:val="20"/>
          <w:szCs w:val="20"/>
          <w:lang w:val="en-US"/>
        </w:rPr>
        <w:t>Angus C</w:t>
      </w:r>
      <w:r w:rsidR="007C29C0" w:rsidRPr="000F48CC">
        <w:rPr>
          <w:sz w:val="20"/>
          <w:szCs w:val="20"/>
          <w:lang w:val="en-US"/>
        </w:rPr>
        <w:t>., et</w:t>
      </w:r>
      <w:r w:rsidRPr="000F48CC">
        <w:rPr>
          <w:sz w:val="20"/>
          <w:szCs w:val="20"/>
          <w:lang w:val="en-US"/>
        </w:rPr>
        <w:t xml:space="preserve"> C.M. S</w:t>
      </w:r>
      <w:r w:rsidR="007C29C0" w:rsidRPr="000F48CC">
        <w:rPr>
          <w:sz w:val="20"/>
          <w:szCs w:val="20"/>
          <w:lang w:val="en-US"/>
        </w:rPr>
        <w:t>INCLAIR.</w:t>
      </w:r>
      <w:r w:rsidRPr="000F48CC">
        <w:rPr>
          <w:sz w:val="20"/>
          <w:szCs w:val="20"/>
          <w:lang w:val="en-US"/>
        </w:rPr>
        <w:t xml:space="preserve"> </w:t>
      </w:r>
      <w:r w:rsidRPr="000F48CC">
        <w:rPr>
          <w:i/>
          <w:iCs/>
          <w:sz w:val="20"/>
          <w:szCs w:val="20"/>
        </w:rPr>
        <w:t xml:space="preserve">Report of the Aboriginal Justice Inquiry of Manitoba, </w:t>
      </w:r>
      <w:r w:rsidR="00E71EC2">
        <w:rPr>
          <w:i/>
          <w:iCs/>
          <w:sz w:val="20"/>
          <w:szCs w:val="20"/>
        </w:rPr>
        <w:t>vol.</w:t>
      </w:r>
      <w:r w:rsidRPr="000F48CC">
        <w:rPr>
          <w:i/>
          <w:iCs/>
          <w:sz w:val="20"/>
          <w:szCs w:val="20"/>
        </w:rPr>
        <w:t xml:space="preserve"> 1, The Justice System and Aboriginal People</w:t>
      </w:r>
      <w:r w:rsidR="000F48CC" w:rsidRPr="000F48CC">
        <w:rPr>
          <w:i/>
          <w:iCs/>
          <w:sz w:val="20"/>
          <w:szCs w:val="20"/>
        </w:rPr>
        <w:t>,</w:t>
      </w:r>
      <w:r w:rsidR="000F48CC">
        <w:rPr>
          <w:sz w:val="20"/>
          <w:szCs w:val="20"/>
        </w:rPr>
        <w:t xml:space="preserve"> </w:t>
      </w:r>
      <w:r>
        <w:rPr>
          <w:sz w:val="20"/>
          <w:szCs w:val="20"/>
        </w:rPr>
        <w:t>Winnipeg, Queen’s Printer, 1991.</w:t>
      </w:r>
    </w:p>
  </w:footnote>
  <w:footnote w:id="4">
    <w:p w14:paraId="0000001C" w14:textId="40A88A34" w:rsidR="008B3223" w:rsidRDefault="00772BAC">
      <w:pPr>
        <w:spacing w:after="0" w:line="240" w:lineRule="auto"/>
        <w:rPr>
          <w:sz w:val="20"/>
          <w:szCs w:val="20"/>
        </w:rPr>
      </w:pPr>
      <w:r>
        <w:rPr>
          <w:rStyle w:val="FootnoteReference"/>
        </w:rPr>
        <w:footnoteRef/>
      </w:r>
      <w:r>
        <w:rPr>
          <w:sz w:val="20"/>
          <w:szCs w:val="20"/>
        </w:rPr>
        <w:t xml:space="preserve"> Truth and Reconciliation Commission</w:t>
      </w:r>
      <w:r w:rsidR="000F48CC">
        <w:rPr>
          <w:sz w:val="20"/>
          <w:szCs w:val="20"/>
        </w:rPr>
        <w:t>.</w:t>
      </w:r>
      <w:r>
        <w:rPr>
          <w:sz w:val="20"/>
          <w:szCs w:val="20"/>
        </w:rPr>
        <w:t xml:space="preserve"> </w:t>
      </w:r>
      <w:r w:rsidRPr="000F48CC">
        <w:rPr>
          <w:i/>
          <w:iCs/>
          <w:sz w:val="20"/>
          <w:szCs w:val="20"/>
        </w:rPr>
        <w:t>Canada’s Residential Schools: The Legacy</w:t>
      </w:r>
      <w:r w:rsidRPr="000F48CC">
        <w:rPr>
          <w:sz w:val="20"/>
          <w:szCs w:val="20"/>
        </w:rPr>
        <w:t xml:space="preserve">, </w:t>
      </w:r>
      <w:r w:rsidR="000F48CC">
        <w:rPr>
          <w:sz w:val="20"/>
          <w:szCs w:val="20"/>
        </w:rPr>
        <w:t>vol.</w:t>
      </w:r>
      <w:r w:rsidRPr="000F48CC">
        <w:rPr>
          <w:sz w:val="20"/>
          <w:szCs w:val="20"/>
        </w:rPr>
        <w:t xml:space="preserve"> 5</w:t>
      </w:r>
      <w:r>
        <w:rPr>
          <w:sz w:val="20"/>
          <w:szCs w:val="20"/>
        </w:rPr>
        <w:t xml:space="preserve">, </w:t>
      </w:r>
      <w:r w:rsidR="000F48CC">
        <w:rPr>
          <w:sz w:val="20"/>
          <w:szCs w:val="20"/>
        </w:rPr>
        <w:t xml:space="preserve">2015, </w:t>
      </w:r>
      <w:r>
        <w:rPr>
          <w:sz w:val="20"/>
          <w:szCs w:val="20"/>
        </w:rPr>
        <w:t>p. 235</w:t>
      </w:r>
      <w:r w:rsidR="007C29C0">
        <w:rPr>
          <w:sz w:val="20"/>
          <w:szCs w:val="20"/>
        </w:rPr>
        <w:t>.</w:t>
      </w:r>
    </w:p>
    <w:p w14:paraId="0000001D" w14:textId="77777777" w:rsidR="008B3223" w:rsidRDefault="008B3223">
      <w:pPr>
        <w:spacing w:after="0" w:line="240" w:lineRule="auto"/>
        <w:rPr>
          <w:i/>
          <w:sz w:val="20"/>
          <w:szCs w:val="20"/>
        </w:rPr>
      </w:pPr>
    </w:p>
  </w:footnote>
  <w:footnote w:id="5">
    <w:p w14:paraId="0000001E" w14:textId="0E18BE7E" w:rsidR="008B3223" w:rsidRDefault="00772BAC">
      <w:pPr>
        <w:spacing w:after="0" w:line="240" w:lineRule="auto"/>
        <w:rPr>
          <w:i/>
          <w:sz w:val="20"/>
          <w:szCs w:val="20"/>
        </w:rPr>
      </w:pPr>
      <w:r>
        <w:rPr>
          <w:rStyle w:val="FootnoteReference"/>
        </w:rPr>
        <w:footnoteRef/>
      </w:r>
      <w:r>
        <w:rPr>
          <w:sz w:val="20"/>
          <w:szCs w:val="20"/>
        </w:rPr>
        <w:t xml:space="preserve"> </w:t>
      </w:r>
      <w:r>
        <w:rPr>
          <w:i/>
          <w:sz w:val="20"/>
          <w:szCs w:val="20"/>
        </w:rPr>
        <w:t>Ibid</w:t>
      </w:r>
      <w:r w:rsidR="007C29C0">
        <w:rPr>
          <w:i/>
          <w:sz w:val="20"/>
          <w:szCs w:val="20"/>
        </w:rPr>
        <w:t>.</w:t>
      </w:r>
      <w:r w:rsidR="007C29C0">
        <w:rPr>
          <w:iCs/>
          <w:sz w:val="20"/>
          <w:szCs w:val="20"/>
        </w:rPr>
        <w:t>, p.</w:t>
      </w:r>
      <w:r>
        <w:rPr>
          <w:sz w:val="20"/>
          <w:szCs w:val="20"/>
        </w:rPr>
        <w:t xml:space="preserve"> 237</w:t>
      </w:r>
      <w:r w:rsidR="007C29C0">
        <w:rPr>
          <w:sz w:val="20"/>
          <w:szCs w:val="20"/>
        </w:rPr>
        <w:t>.</w:t>
      </w:r>
    </w:p>
  </w:footnote>
  <w:footnote w:id="6">
    <w:p w14:paraId="0000001F" w14:textId="648AD1D9" w:rsidR="008B3223" w:rsidRDefault="00772BAC">
      <w:pPr>
        <w:spacing w:after="0" w:line="240" w:lineRule="auto"/>
        <w:rPr>
          <w:i/>
          <w:sz w:val="20"/>
          <w:szCs w:val="20"/>
        </w:rPr>
      </w:pPr>
      <w:r>
        <w:rPr>
          <w:rStyle w:val="FootnoteReference"/>
        </w:rPr>
        <w:footnoteRef/>
      </w:r>
      <w:r>
        <w:rPr>
          <w:sz w:val="20"/>
          <w:szCs w:val="20"/>
        </w:rPr>
        <w:t xml:space="preserve"> </w:t>
      </w:r>
      <w:r>
        <w:rPr>
          <w:i/>
          <w:sz w:val="20"/>
          <w:szCs w:val="20"/>
        </w:rPr>
        <w:t>Ibid</w:t>
      </w:r>
      <w:r w:rsidR="007C29C0">
        <w:rPr>
          <w:i/>
          <w:sz w:val="20"/>
          <w:szCs w:val="20"/>
        </w:rPr>
        <w:t>.</w:t>
      </w:r>
      <w:r w:rsidR="007C29C0">
        <w:rPr>
          <w:iCs/>
          <w:sz w:val="20"/>
          <w:szCs w:val="20"/>
        </w:rPr>
        <w:t>, p. 237.</w:t>
      </w:r>
    </w:p>
  </w:footnote>
  <w:footnote w:id="7">
    <w:p w14:paraId="00000020" w14:textId="72FBAC05" w:rsidR="008B3223" w:rsidRDefault="00772BAC">
      <w:pPr>
        <w:spacing w:after="0" w:line="240" w:lineRule="auto"/>
        <w:rPr>
          <w:i/>
          <w:sz w:val="20"/>
          <w:szCs w:val="20"/>
        </w:rPr>
      </w:pPr>
      <w:r>
        <w:rPr>
          <w:rStyle w:val="FootnoteReference"/>
        </w:rPr>
        <w:footnoteRef/>
      </w:r>
      <w:r>
        <w:rPr>
          <w:sz w:val="20"/>
          <w:szCs w:val="20"/>
        </w:rPr>
        <w:t xml:space="preserve"> </w:t>
      </w:r>
      <w:r>
        <w:rPr>
          <w:i/>
          <w:sz w:val="20"/>
          <w:szCs w:val="20"/>
        </w:rPr>
        <w:t>Ibid</w:t>
      </w:r>
      <w:r w:rsidR="007C29C0">
        <w:rPr>
          <w:i/>
          <w:sz w:val="20"/>
          <w:szCs w:val="20"/>
        </w:rPr>
        <w:t>.</w:t>
      </w:r>
      <w:r w:rsidRPr="007C29C0">
        <w:rPr>
          <w:iCs/>
          <w:sz w:val="20"/>
          <w:szCs w:val="20"/>
        </w:rPr>
        <w:t xml:space="preserve">, </w:t>
      </w:r>
      <w:r w:rsidR="007C29C0" w:rsidRPr="007C29C0">
        <w:rPr>
          <w:iCs/>
          <w:sz w:val="20"/>
          <w:szCs w:val="20"/>
        </w:rPr>
        <w:t xml:space="preserve">p. </w:t>
      </w:r>
      <w:r w:rsidRPr="007C29C0">
        <w:rPr>
          <w:iCs/>
          <w:sz w:val="20"/>
          <w:szCs w:val="20"/>
        </w:rPr>
        <w:t>236</w:t>
      </w:r>
      <w:r w:rsidR="007C29C0" w:rsidRPr="007C29C0">
        <w:rPr>
          <w:iCs/>
          <w:sz w:val="20"/>
          <w:szCs w:val="20"/>
        </w:rPr>
        <w:t>.</w:t>
      </w:r>
    </w:p>
  </w:footnote>
  <w:footnote w:id="8">
    <w:p w14:paraId="00000021" w14:textId="0AE82F2D" w:rsidR="008B3223" w:rsidRDefault="00772BAC">
      <w:pPr>
        <w:spacing w:after="0" w:line="240" w:lineRule="auto"/>
        <w:rPr>
          <w:sz w:val="20"/>
          <w:szCs w:val="20"/>
        </w:rPr>
      </w:pPr>
      <w:r>
        <w:rPr>
          <w:rStyle w:val="FootnoteReference"/>
        </w:rPr>
        <w:footnoteRef/>
      </w:r>
      <w:r>
        <w:rPr>
          <w:sz w:val="20"/>
          <w:szCs w:val="20"/>
        </w:rPr>
        <w:t xml:space="preserve"> </w:t>
      </w:r>
      <w:r w:rsidR="007C29C0">
        <w:rPr>
          <w:sz w:val="20"/>
          <w:szCs w:val="20"/>
        </w:rPr>
        <w:t xml:space="preserve">RUDIN, </w:t>
      </w:r>
      <w:r>
        <w:rPr>
          <w:sz w:val="20"/>
          <w:szCs w:val="20"/>
        </w:rPr>
        <w:t>Jonathan</w:t>
      </w:r>
      <w:r w:rsidR="007C29C0">
        <w:rPr>
          <w:sz w:val="20"/>
          <w:szCs w:val="20"/>
        </w:rPr>
        <w:t>.</w:t>
      </w:r>
      <w:r>
        <w:rPr>
          <w:sz w:val="20"/>
          <w:szCs w:val="20"/>
        </w:rPr>
        <w:t xml:space="preserve"> </w:t>
      </w:r>
      <w:r>
        <w:rPr>
          <w:i/>
          <w:sz w:val="20"/>
          <w:szCs w:val="20"/>
        </w:rPr>
        <w:t>Indigenous People and the Criminal Justice System</w:t>
      </w:r>
      <w:r w:rsidR="000F48CC" w:rsidRPr="000F48CC">
        <w:rPr>
          <w:iCs/>
          <w:sz w:val="20"/>
          <w:szCs w:val="20"/>
        </w:rPr>
        <w:t>,</w:t>
      </w:r>
      <w:r w:rsidR="000F48CC">
        <w:rPr>
          <w:i/>
          <w:sz w:val="20"/>
          <w:szCs w:val="20"/>
        </w:rPr>
        <w:t xml:space="preserve"> </w:t>
      </w:r>
      <w:r>
        <w:rPr>
          <w:sz w:val="20"/>
          <w:szCs w:val="20"/>
        </w:rPr>
        <w:t>Toronto</w:t>
      </w:r>
      <w:r w:rsidR="000F48CC">
        <w:rPr>
          <w:sz w:val="20"/>
          <w:szCs w:val="20"/>
        </w:rPr>
        <w:t>,</w:t>
      </w:r>
      <w:r>
        <w:rPr>
          <w:sz w:val="20"/>
          <w:szCs w:val="20"/>
        </w:rPr>
        <w:t xml:space="preserve"> Emond Montgomery Publications Limited</w:t>
      </w:r>
      <w:r w:rsidR="000F48CC">
        <w:rPr>
          <w:sz w:val="20"/>
          <w:szCs w:val="20"/>
        </w:rPr>
        <w:t>,</w:t>
      </w:r>
      <w:r>
        <w:rPr>
          <w:sz w:val="20"/>
          <w:szCs w:val="20"/>
        </w:rPr>
        <w:t xml:space="preserve"> 2019</w:t>
      </w:r>
      <w:r w:rsidR="007C29C0">
        <w:rPr>
          <w:sz w:val="20"/>
          <w:szCs w:val="20"/>
        </w:rPr>
        <w:t>, p.</w:t>
      </w:r>
      <w:r>
        <w:rPr>
          <w:sz w:val="20"/>
          <w:szCs w:val="20"/>
        </w:rPr>
        <w:t xml:space="preserve"> 109 [Rudin]</w:t>
      </w:r>
    </w:p>
  </w:footnote>
  <w:footnote w:id="9">
    <w:p w14:paraId="00000022" w14:textId="1BFFD1D0" w:rsidR="008B3223" w:rsidRDefault="00772BAC">
      <w:pPr>
        <w:spacing w:after="0" w:line="240" w:lineRule="auto"/>
        <w:rPr>
          <w:sz w:val="20"/>
          <w:szCs w:val="20"/>
        </w:rPr>
      </w:pPr>
      <w:r>
        <w:rPr>
          <w:rStyle w:val="FootnoteReference"/>
        </w:rPr>
        <w:footnoteRef/>
      </w:r>
      <w:r>
        <w:rPr>
          <w:sz w:val="20"/>
          <w:szCs w:val="20"/>
        </w:rPr>
        <w:t xml:space="preserve"> </w:t>
      </w:r>
      <w:r>
        <w:rPr>
          <w:i/>
          <w:sz w:val="20"/>
          <w:szCs w:val="20"/>
        </w:rPr>
        <w:t>Ibid.</w:t>
      </w:r>
      <w:r w:rsidR="007C29C0" w:rsidRPr="007C29C0">
        <w:rPr>
          <w:iCs/>
          <w:sz w:val="20"/>
          <w:szCs w:val="20"/>
        </w:rPr>
        <w:t>,</w:t>
      </w:r>
      <w:r w:rsidRPr="007C29C0">
        <w:rPr>
          <w:iCs/>
          <w:sz w:val="20"/>
          <w:szCs w:val="20"/>
        </w:rPr>
        <w:t xml:space="preserve"> </w:t>
      </w:r>
      <w:r w:rsidR="007C29C0" w:rsidRPr="007C29C0">
        <w:rPr>
          <w:iCs/>
          <w:sz w:val="20"/>
          <w:szCs w:val="20"/>
        </w:rPr>
        <w:t>p.</w:t>
      </w:r>
      <w:r w:rsidRPr="007C29C0">
        <w:rPr>
          <w:iCs/>
          <w:sz w:val="20"/>
          <w:szCs w:val="20"/>
        </w:rPr>
        <w:t xml:space="preserve"> 109</w:t>
      </w:r>
      <w:r w:rsidR="007C29C0" w:rsidRPr="007C29C0">
        <w:rPr>
          <w:iCs/>
          <w:sz w:val="20"/>
          <w:szCs w:val="20"/>
        </w:rPr>
        <w:t>.</w:t>
      </w:r>
    </w:p>
  </w:footnote>
  <w:footnote w:id="10">
    <w:p w14:paraId="00000023" w14:textId="44A14631" w:rsidR="008B3223" w:rsidRDefault="00772BAC">
      <w:pPr>
        <w:spacing w:after="0" w:line="240" w:lineRule="auto"/>
        <w:rPr>
          <w:sz w:val="20"/>
          <w:szCs w:val="20"/>
        </w:rPr>
      </w:pPr>
      <w:r>
        <w:rPr>
          <w:rStyle w:val="FootnoteReference"/>
        </w:rPr>
        <w:footnoteRef/>
      </w:r>
      <w:r>
        <w:rPr>
          <w:sz w:val="20"/>
          <w:szCs w:val="20"/>
        </w:rPr>
        <w:t xml:space="preserve"> </w:t>
      </w:r>
      <w:r>
        <w:rPr>
          <w:i/>
          <w:sz w:val="20"/>
          <w:szCs w:val="20"/>
        </w:rPr>
        <w:t>Ibid.</w:t>
      </w:r>
      <w:r w:rsidR="007C29C0" w:rsidRPr="007C29C0">
        <w:rPr>
          <w:iCs/>
          <w:sz w:val="20"/>
          <w:szCs w:val="20"/>
        </w:rPr>
        <w:t>,</w:t>
      </w:r>
      <w:r w:rsidRPr="007C29C0">
        <w:rPr>
          <w:iCs/>
          <w:sz w:val="20"/>
          <w:szCs w:val="20"/>
        </w:rPr>
        <w:t xml:space="preserve"> </w:t>
      </w:r>
      <w:r w:rsidR="007C29C0" w:rsidRPr="007C29C0">
        <w:rPr>
          <w:iCs/>
          <w:sz w:val="20"/>
          <w:szCs w:val="20"/>
        </w:rPr>
        <w:t>p.</w:t>
      </w:r>
      <w:r w:rsidRPr="007C29C0">
        <w:rPr>
          <w:iCs/>
          <w:sz w:val="20"/>
          <w:szCs w:val="20"/>
        </w:rPr>
        <w:t xml:space="preserve"> 110</w:t>
      </w:r>
      <w:r w:rsidR="007C29C0" w:rsidRPr="007C29C0">
        <w:rPr>
          <w:iCs/>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661A" w14:textId="338D2777" w:rsidR="00842E71" w:rsidRDefault="00842E71">
    <w:pPr>
      <w:pStyle w:val="Header"/>
    </w:pPr>
    <w:r>
      <w:tab/>
    </w:r>
    <w:r w:rsidR="00926DA0">
      <w:tab/>
    </w:r>
  </w:p>
  <w:p w14:paraId="4467B99E" w14:textId="059C5196" w:rsidR="00926DA0" w:rsidRDefault="0092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1675"/>
    <w:multiLevelType w:val="multilevel"/>
    <w:tmpl w:val="6DFA7D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23"/>
    <w:rsid w:val="000371BF"/>
    <w:rsid w:val="00044FFD"/>
    <w:rsid w:val="000604CD"/>
    <w:rsid w:val="000D443B"/>
    <w:rsid w:val="000F48CC"/>
    <w:rsid w:val="002523C0"/>
    <w:rsid w:val="004A433E"/>
    <w:rsid w:val="0065639B"/>
    <w:rsid w:val="00675DD9"/>
    <w:rsid w:val="00772BAC"/>
    <w:rsid w:val="007C29C0"/>
    <w:rsid w:val="00842E71"/>
    <w:rsid w:val="008B3223"/>
    <w:rsid w:val="00926DA0"/>
    <w:rsid w:val="00A41778"/>
    <w:rsid w:val="00B67358"/>
    <w:rsid w:val="00BB4842"/>
    <w:rsid w:val="00BB5447"/>
    <w:rsid w:val="00D4428F"/>
    <w:rsid w:val="00E71EC2"/>
    <w:rsid w:val="00EE4E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192C"/>
  <w15:docId w15:val="{F95CFE7D-3DCD-441F-B743-6AC48204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6F57"/>
    <w:pPr>
      <w:ind w:left="720"/>
      <w:contextualSpacing/>
    </w:pPr>
  </w:style>
  <w:style w:type="paragraph" w:styleId="FootnoteText">
    <w:name w:val="footnote text"/>
    <w:basedOn w:val="Normal"/>
    <w:link w:val="FootnoteTextChar"/>
    <w:uiPriority w:val="99"/>
    <w:semiHidden/>
    <w:unhideWhenUsed/>
    <w:rsid w:val="002D6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25A"/>
    <w:rPr>
      <w:sz w:val="20"/>
      <w:szCs w:val="20"/>
    </w:rPr>
  </w:style>
  <w:style w:type="character" w:styleId="FootnoteReference">
    <w:name w:val="footnote reference"/>
    <w:basedOn w:val="DefaultParagraphFont"/>
    <w:uiPriority w:val="99"/>
    <w:semiHidden/>
    <w:unhideWhenUsed/>
    <w:rsid w:val="002D625A"/>
    <w:rPr>
      <w:vertAlign w:val="superscript"/>
    </w:rPr>
  </w:style>
  <w:style w:type="paragraph" w:styleId="Header">
    <w:name w:val="header"/>
    <w:basedOn w:val="Normal"/>
    <w:link w:val="HeaderChar"/>
    <w:uiPriority w:val="99"/>
    <w:unhideWhenUsed/>
    <w:rsid w:val="00D55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634"/>
  </w:style>
  <w:style w:type="paragraph" w:styleId="Footer">
    <w:name w:val="footer"/>
    <w:basedOn w:val="Normal"/>
    <w:link w:val="FooterChar"/>
    <w:uiPriority w:val="99"/>
    <w:unhideWhenUsed/>
    <w:rsid w:val="00D55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634"/>
  </w:style>
  <w:style w:type="paragraph" w:styleId="NormalWeb">
    <w:name w:val="Normal (Web)"/>
    <w:basedOn w:val="Normal"/>
    <w:uiPriority w:val="99"/>
    <w:semiHidden/>
    <w:unhideWhenUsed/>
    <w:rsid w:val="006248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74CD0"/>
    <w:rPr>
      <w:color w:val="0000FF"/>
      <w:u w:val="single"/>
    </w:rPr>
  </w:style>
  <w:style w:type="paragraph" w:styleId="z-TopofForm">
    <w:name w:val="HTML Top of Form"/>
    <w:basedOn w:val="Normal"/>
    <w:next w:val="Normal"/>
    <w:link w:val="z-TopofFormChar"/>
    <w:hidden/>
    <w:uiPriority w:val="99"/>
    <w:semiHidden/>
    <w:unhideWhenUsed/>
    <w:rsid w:val="00474CD0"/>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474CD0"/>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474CD0"/>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474CD0"/>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6A3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6A2"/>
    <w:rPr>
      <w:rFonts w:ascii="Segoe UI" w:hAnsi="Segoe UI" w:cs="Segoe UI"/>
      <w:sz w:val="18"/>
      <w:szCs w:val="18"/>
    </w:rPr>
  </w:style>
  <w:style w:type="character" w:styleId="CommentReference">
    <w:name w:val="annotation reference"/>
    <w:basedOn w:val="DefaultParagraphFont"/>
    <w:uiPriority w:val="99"/>
    <w:semiHidden/>
    <w:unhideWhenUsed/>
    <w:rsid w:val="00D034FD"/>
    <w:rPr>
      <w:sz w:val="16"/>
      <w:szCs w:val="16"/>
    </w:rPr>
  </w:style>
  <w:style w:type="paragraph" w:styleId="CommentText">
    <w:name w:val="annotation text"/>
    <w:basedOn w:val="Normal"/>
    <w:link w:val="CommentTextChar"/>
    <w:uiPriority w:val="99"/>
    <w:semiHidden/>
    <w:unhideWhenUsed/>
    <w:rsid w:val="00D034FD"/>
    <w:pPr>
      <w:spacing w:line="240" w:lineRule="auto"/>
    </w:pPr>
    <w:rPr>
      <w:sz w:val="20"/>
      <w:szCs w:val="20"/>
    </w:rPr>
  </w:style>
  <w:style w:type="character" w:customStyle="1" w:styleId="CommentTextChar">
    <w:name w:val="Comment Text Char"/>
    <w:basedOn w:val="DefaultParagraphFont"/>
    <w:link w:val="CommentText"/>
    <w:uiPriority w:val="99"/>
    <w:semiHidden/>
    <w:rsid w:val="00D034FD"/>
    <w:rPr>
      <w:sz w:val="20"/>
      <w:szCs w:val="20"/>
    </w:rPr>
  </w:style>
  <w:style w:type="paragraph" w:styleId="CommentSubject">
    <w:name w:val="annotation subject"/>
    <w:basedOn w:val="CommentText"/>
    <w:next w:val="CommentText"/>
    <w:link w:val="CommentSubjectChar"/>
    <w:uiPriority w:val="99"/>
    <w:semiHidden/>
    <w:unhideWhenUsed/>
    <w:rsid w:val="00D034FD"/>
    <w:rPr>
      <w:b/>
      <w:bCs/>
    </w:rPr>
  </w:style>
  <w:style w:type="character" w:customStyle="1" w:styleId="CommentSubjectChar">
    <w:name w:val="Comment Subject Char"/>
    <w:basedOn w:val="CommentTextChar"/>
    <w:link w:val="CommentSubject"/>
    <w:uiPriority w:val="99"/>
    <w:semiHidden/>
    <w:rsid w:val="00D034F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E71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anlii.ca/t/1fq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I0xHEK6Dm92pXMGky4mF6E44mg==">AMUW2mVNao8rW93EMM57ZdoWcvdx0Jd/mR3vQDsv21+ig9kOx+quDZCzLrQZnsialIBSljLAfpRbS1JRGqGRm66SbEkZRNpt+EVpfKHVjeKnJzjq9Lb5Sx8=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46028C-3F81-4C0D-A77B-34C068BD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1143</Words>
  <Characters>6517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Jessica Tapatai</cp:lastModifiedBy>
  <cp:revision>2</cp:revision>
  <dcterms:created xsi:type="dcterms:W3CDTF">2020-02-06T15:46:00Z</dcterms:created>
  <dcterms:modified xsi:type="dcterms:W3CDTF">2020-02-06T15:46:00Z</dcterms:modified>
</cp:coreProperties>
</file>